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D90F8" w14:textId="6509A891" w:rsidR="00F81F8B" w:rsidRDefault="00F016E2" w:rsidP="00A676E8">
      <w:pPr>
        <w:spacing w:line="480" w:lineRule="auto"/>
        <w:rPr>
          <w:rFonts w:ascii="Times New Roman" w:hAnsi="Times New Roman" w:cs="Times New Roman"/>
          <w:b/>
          <w:bCs/>
          <w:sz w:val="22"/>
          <w:szCs w:val="22"/>
        </w:rPr>
      </w:pPr>
      <w:r>
        <w:rPr>
          <w:rFonts w:ascii="Times New Roman" w:hAnsi="Times New Roman" w:cs="Times New Roman" w:hint="eastAsia"/>
          <w:b/>
          <w:bCs/>
          <w:sz w:val="22"/>
          <w:szCs w:val="22"/>
        </w:rPr>
        <w:t>S</w:t>
      </w:r>
      <w:r>
        <w:rPr>
          <w:rFonts w:ascii="Times New Roman" w:hAnsi="Times New Roman" w:cs="Times New Roman"/>
          <w:b/>
          <w:bCs/>
          <w:sz w:val="22"/>
          <w:szCs w:val="22"/>
        </w:rPr>
        <w:t>upplementary Materials</w:t>
      </w:r>
    </w:p>
    <w:p w14:paraId="2D247501" w14:textId="77777777" w:rsidR="00B258B7" w:rsidRPr="00B258B7" w:rsidRDefault="00E535BE" w:rsidP="00A676E8">
      <w:pPr>
        <w:spacing w:line="480" w:lineRule="auto"/>
        <w:outlineLvl w:val="0"/>
        <w:rPr>
          <w:rFonts w:ascii="Times New Roman" w:hAnsi="Times New Roman" w:cs="Times New Roman"/>
          <w:b/>
          <w:bCs/>
          <w:sz w:val="22"/>
          <w:szCs w:val="22"/>
        </w:rPr>
      </w:pPr>
      <w:r w:rsidRPr="00E535BE">
        <w:rPr>
          <w:rFonts w:ascii="Times New Roman" w:hAnsi="Times New Roman" w:cs="Times New Roman"/>
          <w:b/>
          <w:bCs/>
          <w:noProof/>
          <w:sz w:val="22"/>
          <w:szCs w:val="22"/>
        </w:rPr>
        <w:drawing>
          <wp:inline distT="0" distB="0" distL="0" distR="0" wp14:anchorId="3B25C80B" wp14:editId="33781421">
            <wp:extent cx="5274310" cy="7576185"/>
            <wp:effectExtent l="0" t="0" r="0" b="5715"/>
            <wp:docPr id="170404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4557" name=""/>
                    <pic:cNvPicPr/>
                  </pic:nvPicPr>
                  <pic:blipFill>
                    <a:blip r:embed="rId5"/>
                    <a:stretch>
                      <a:fillRect/>
                    </a:stretch>
                  </pic:blipFill>
                  <pic:spPr>
                    <a:xfrm>
                      <a:off x="0" y="0"/>
                      <a:ext cx="5274310" cy="7576185"/>
                    </a:xfrm>
                    <a:prstGeom prst="rect">
                      <a:avLst/>
                    </a:prstGeom>
                  </pic:spPr>
                </pic:pic>
              </a:graphicData>
            </a:graphic>
          </wp:inline>
        </w:drawing>
      </w:r>
      <w:r w:rsidRPr="00E535BE">
        <w:rPr>
          <w:rFonts w:ascii="Times New Roman" w:hAnsi="Times New Roman" w:cs="Times New Roman"/>
          <w:b/>
          <w:bCs/>
          <w:sz w:val="22"/>
          <w:szCs w:val="22"/>
        </w:rPr>
        <w:t xml:space="preserve"> </w:t>
      </w:r>
      <w:r w:rsidR="00B258B7" w:rsidRPr="00B258B7">
        <w:rPr>
          <w:rFonts w:ascii="Times New Roman" w:hAnsi="Times New Roman" w:cs="Times New Roman"/>
          <w:b/>
          <w:bCs/>
          <w:sz w:val="22"/>
          <w:szCs w:val="22"/>
        </w:rPr>
        <w:t>Figure S1. Differential expression analysis of NINJ1 in lung adenocarcinoma and adjacent normal tissues.</w:t>
      </w:r>
    </w:p>
    <w:p w14:paraId="3F7A523C" w14:textId="15CE8500" w:rsidR="00EE49BA" w:rsidRDefault="00B258B7" w:rsidP="00A676E8">
      <w:pPr>
        <w:spacing w:line="480" w:lineRule="auto"/>
        <w:outlineLvl w:val="0"/>
        <w:rPr>
          <w:rFonts w:ascii="Times New Roman" w:hAnsi="Times New Roman" w:cs="Times New Roman"/>
          <w:sz w:val="22"/>
          <w:szCs w:val="22"/>
        </w:rPr>
      </w:pPr>
      <w:r w:rsidRPr="00B258B7">
        <w:rPr>
          <w:rFonts w:ascii="Times New Roman" w:hAnsi="Times New Roman" w:cs="Times New Roman"/>
          <w:sz w:val="22"/>
          <w:szCs w:val="22"/>
        </w:rPr>
        <w:lastRenderedPageBreak/>
        <w:t>(</w:t>
      </w:r>
      <w:r w:rsidRPr="00B258B7">
        <w:rPr>
          <w:rFonts w:ascii="Times New Roman" w:hAnsi="Times New Roman" w:cs="Times New Roman"/>
          <w:b/>
          <w:bCs/>
          <w:sz w:val="22"/>
          <w:szCs w:val="22"/>
        </w:rPr>
        <w:t>A</w:t>
      </w:r>
      <w:r w:rsidRPr="00B258B7">
        <w:rPr>
          <w:rFonts w:ascii="Times New Roman" w:hAnsi="Times New Roman" w:cs="Times New Roman"/>
          <w:sz w:val="22"/>
          <w:szCs w:val="22"/>
        </w:rPr>
        <w:t>) NINJ1 expression across different pathological stages of lung adenocarcinoma based on the CPTAC database.</w:t>
      </w:r>
      <w:r w:rsidR="00EC69A3">
        <w:rPr>
          <w:rFonts w:ascii="Times New Roman" w:hAnsi="Times New Roman" w:cs="Times New Roman" w:hint="eastAsia"/>
          <w:sz w:val="22"/>
          <w:szCs w:val="22"/>
        </w:rPr>
        <w:t xml:space="preserve"> </w:t>
      </w:r>
      <w:r w:rsidRPr="00B258B7">
        <w:rPr>
          <w:rFonts w:ascii="Times New Roman" w:hAnsi="Times New Roman" w:cs="Times New Roman"/>
          <w:sz w:val="22"/>
          <w:szCs w:val="22"/>
        </w:rPr>
        <w:t>(</w:t>
      </w:r>
      <w:r w:rsidRPr="00B258B7">
        <w:rPr>
          <w:rFonts w:ascii="Times New Roman" w:hAnsi="Times New Roman" w:cs="Times New Roman"/>
          <w:b/>
          <w:bCs/>
          <w:sz w:val="22"/>
          <w:szCs w:val="22"/>
        </w:rPr>
        <w:t>B</w:t>
      </w:r>
      <w:r w:rsidRPr="00B258B7">
        <w:rPr>
          <w:rFonts w:ascii="Times New Roman" w:hAnsi="Times New Roman" w:cs="Times New Roman"/>
          <w:sz w:val="22"/>
          <w:szCs w:val="22"/>
        </w:rPr>
        <w:t>) Differential expression analysis of NINJ1 in lung cancer tumor tissues versus adjacent normal tissues using data from the TCGA database.</w:t>
      </w:r>
      <w:r w:rsidR="00EC69A3">
        <w:rPr>
          <w:rFonts w:ascii="Times New Roman" w:hAnsi="Times New Roman" w:cs="Times New Roman" w:hint="eastAsia"/>
          <w:sz w:val="22"/>
          <w:szCs w:val="22"/>
        </w:rPr>
        <w:t xml:space="preserve"> </w:t>
      </w:r>
      <w:r w:rsidRPr="00B258B7">
        <w:rPr>
          <w:rFonts w:ascii="Times New Roman" w:hAnsi="Times New Roman" w:cs="Times New Roman"/>
          <w:sz w:val="22"/>
          <w:szCs w:val="22"/>
        </w:rPr>
        <w:t>(</w:t>
      </w:r>
      <w:r w:rsidRPr="00B258B7">
        <w:rPr>
          <w:rFonts w:ascii="Times New Roman" w:hAnsi="Times New Roman" w:cs="Times New Roman"/>
          <w:b/>
          <w:bCs/>
          <w:sz w:val="22"/>
          <w:szCs w:val="22"/>
        </w:rPr>
        <w:t>C</w:t>
      </w:r>
      <w:r w:rsidRPr="00B258B7">
        <w:rPr>
          <w:rFonts w:ascii="Times New Roman" w:hAnsi="Times New Roman" w:cs="Times New Roman"/>
          <w:sz w:val="22"/>
          <w:szCs w:val="22"/>
        </w:rPr>
        <w:t>) Kaplan–Meier survival analysis indicating that patients with high NINJ1 expression exhibit improved overall survival compared to those with low expression.</w:t>
      </w:r>
      <w:r w:rsidR="00EC69A3">
        <w:rPr>
          <w:rFonts w:ascii="Times New Roman" w:hAnsi="Times New Roman" w:cs="Times New Roman" w:hint="eastAsia"/>
          <w:sz w:val="22"/>
          <w:szCs w:val="22"/>
        </w:rPr>
        <w:t xml:space="preserve"> </w:t>
      </w:r>
      <w:r w:rsidR="00704215" w:rsidRPr="000938AD">
        <w:rPr>
          <w:rFonts w:ascii="Times New Roman" w:hAnsi="Times New Roman" w:cs="Times New Roman"/>
          <w:sz w:val="22"/>
          <w:szCs w:val="22"/>
        </w:rPr>
        <w:t>*</w:t>
      </w:r>
      <w:r w:rsidR="00704215">
        <w:rPr>
          <w:rFonts w:ascii="Times New Roman" w:hAnsi="Times New Roman" w:cs="Times New Roman"/>
          <w:sz w:val="22"/>
          <w:szCs w:val="22"/>
        </w:rPr>
        <w:t xml:space="preserve"> </w:t>
      </w:r>
      <w:r w:rsidR="00704215" w:rsidRPr="001C0048">
        <w:rPr>
          <w:rFonts w:ascii="Times New Roman" w:hAnsi="Times New Roman" w:cs="Times New Roman" w:hint="eastAsia"/>
          <w:i/>
          <w:iCs/>
          <w:sz w:val="22"/>
          <w:szCs w:val="22"/>
        </w:rPr>
        <w:t>p</w:t>
      </w:r>
      <w:r w:rsidR="00704215">
        <w:rPr>
          <w:rFonts w:ascii="Times New Roman" w:hAnsi="Times New Roman" w:cs="Times New Roman"/>
          <w:sz w:val="22"/>
          <w:szCs w:val="22"/>
        </w:rPr>
        <w:t xml:space="preserve"> </w:t>
      </w:r>
      <w:r w:rsidR="00704215" w:rsidRPr="000938AD">
        <w:rPr>
          <w:rFonts w:ascii="Times New Roman" w:hAnsi="Times New Roman" w:cs="Times New Roman"/>
          <w:sz w:val="22"/>
          <w:szCs w:val="22"/>
        </w:rPr>
        <w:t xml:space="preserve">&lt; 0.05; ** </w:t>
      </w:r>
      <w:r w:rsidR="00704215" w:rsidRPr="001C0048">
        <w:rPr>
          <w:rFonts w:ascii="Times New Roman" w:hAnsi="Times New Roman" w:cs="Times New Roman" w:hint="eastAsia"/>
          <w:i/>
          <w:iCs/>
          <w:sz w:val="22"/>
          <w:szCs w:val="22"/>
        </w:rPr>
        <w:t>p</w:t>
      </w:r>
      <w:r w:rsidR="00704215" w:rsidRPr="000938AD">
        <w:rPr>
          <w:rFonts w:ascii="Times New Roman" w:hAnsi="Times New Roman" w:cs="Times New Roman"/>
          <w:sz w:val="22"/>
          <w:szCs w:val="22"/>
        </w:rPr>
        <w:t xml:space="preserve"> &lt; 0.01; *** </w:t>
      </w:r>
      <w:r w:rsidR="00704215" w:rsidRPr="001C0048">
        <w:rPr>
          <w:rFonts w:ascii="Times New Roman" w:hAnsi="Times New Roman" w:cs="Times New Roman" w:hint="eastAsia"/>
          <w:i/>
          <w:iCs/>
          <w:sz w:val="22"/>
          <w:szCs w:val="22"/>
        </w:rPr>
        <w:t>p</w:t>
      </w:r>
      <w:r w:rsidR="00704215" w:rsidRPr="000938AD">
        <w:rPr>
          <w:rFonts w:ascii="Times New Roman" w:hAnsi="Times New Roman" w:cs="Times New Roman"/>
          <w:sz w:val="22"/>
          <w:szCs w:val="22"/>
        </w:rPr>
        <w:t xml:space="preserve"> &lt; 0.001; **** </w:t>
      </w:r>
      <w:r w:rsidR="00704215" w:rsidRPr="001C0048">
        <w:rPr>
          <w:rFonts w:ascii="Times New Roman" w:hAnsi="Times New Roman" w:cs="Times New Roman" w:hint="eastAsia"/>
          <w:i/>
          <w:iCs/>
          <w:sz w:val="22"/>
          <w:szCs w:val="22"/>
        </w:rPr>
        <w:t>p</w:t>
      </w:r>
      <w:r w:rsidR="00704215" w:rsidRPr="000938AD">
        <w:rPr>
          <w:rFonts w:ascii="Times New Roman" w:hAnsi="Times New Roman" w:cs="Times New Roman"/>
          <w:sz w:val="22"/>
          <w:szCs w:val="22"/>
        </w:rPr>
        <w:t xml:space="preserve"> &lt; 0.0001.</w:t>
      </w:r>
    </w:p>
    <w:p w14:paraId="30A0CD74" w14:textId="77777777" w:rsidR="00E535BE" w:rsidRDefault="00E535BE" w:rsidP="00A676E8">
      <w:pPr>
        <w:spacing w:line="480" w:lineRule="auto"/>
        <w:rPr>
          <w:rFonts w:ascii="Times New Roman" w:hAnsi="Times New Roman" w:cs="Times New Roman"/>
          <w:b/>
          <w:bCs/>
          <w:sz w:val="22"/>
          <w:szCs w:val="22"/>
        </w:rPr>
      </w:pPr>
      <w:r>
        <w:rPr>
          <w:rFonts w:ascii="Times New Roman" w:hAnsi="Times New Roman" w:cs="Times New Roman"/>
          <w:b/>
          <w:bCs/>
          <w:sz w:val="22"/>
          <w:szCs w:val="22"/>
        </w:rPr>
        <w:br w:type="page"/>
      </w:r>
    </w:p>
    <w:p w14:paraId="4D910F8F" w14:textId="77777777" w:rsidR="00B258B7" w:rsidRPr="00B258B7" w:rsidRDefault="00E535BE" w:rsidP="00A676E8">
      <w:pPr>
        <w:spacing w:line="480" w:lineRule="auto"/>
        <w:outlineLvl w:val="0"/>
        <w:rPr>
          <w:rFonts w:ascii="Times New Roman" w:hAnsi="Times New Roman" w:cs="Times New Roman"/>
          <w:b/>
          <w:bCs/>
          <w:sz w:val="22"/>
          <w:szCs w:val="22"/>
        </w:rPr>
      </w:pPr>
      <w:r w:rsidRPr="00E535BE">
        <w:rPr>
          <w:rFonts w:ascii="Times New Roman" w:hAnsi="Times New Roman" w:cs="Times New Roman"/>
          <w:b/>
          <w:bCs/>
          <w:noProof/>
          <w:sz w:val="22"/>
          <w:szCs w:val="22"/>
        </w:rPr>
        <w:lastRenderedPageBreak/>
        <w:drawing>
          <wp:inline distT="0" distB="0" distL="0" distR="0" wp14:anchorId="136E2388" wp14:editId="0355E091">
            <wp:extent cx="5274310" cy="3930015"/>
            <wp:effectExtent l="0" t="0" r="0" b="0"/>
            <wp:docPr id="1150098881" name="图片 1" descr="图表, 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98881" name="图片 1" descr="图表, 图示&#10;&#10;中度可信度描述已自动生成"/>
                    <pic:cNvPicPr/>
                  </pic:nvPicPr>
                  <pic:blipFill>
                    <a:blip r:embed="rId6"/>
                    <a:stretch>
                      <a:fillRect/>
                    </a:stretch>
                  </pic:blipFill>
                  <pic:spPr>
                    <a:xfrm>
                      <a:off x="0" y="0"/>
                      <a:ext cx="5274310" cy="3930015"/>
                    </a:xfrm>
                    <a:prstGeom prst="rect">
                      <a:avLst/>
                    </a:prstGeom>
                  </pic:spPr>
                </pic:pic>
              </a:graphicData>
            </a:graphic>
          </wp:inline>
        </w:drawing>
      </w:r>
      <w:r w:rsidRPr="00E535BE">
        <w:rPr>
          <w:rFonts w:ascii="Times New Roman" w:hAnsi="Times New Roman" w:cs="Times New Roman" w:hint="eastAsia"/>
          <w:b/>
          <w:bCs/>
          <w:sz w:val="22"/>
          <w:szCs w:val="22"/>
        </w:rPr>
        <w:t xml:space="preserve"> </w:t>
      </w:r>
      <w:r w:rsidR="00B258B7" w:rsidRPr="00B258B7">
        <w:rPr>
          <w:rFonts w:ascii="Times New Roman" w:hAnsi="Times New Roman" w:cs="Times New Roman"/>
          <w:b/>
          <w:bCs/>
          <w:sz w:val="22"/>
          <w:szCs w:val="22"/>
        </w:rPr>
        <w:t>Figure S2. Generation and validation of NINJ1-knockout lung adenocarcinoma cell lines.</w:t>
      </w:r>
    </w:p>
    <w:p w14:paraId="71BDD9BD" w14:textId="1E8C45F9" w:rsidR="00F81F8B" w:rsidRDefault="00B258B7" w:rsidP="00A676E8">
      <w:pPr>
        <w:spacing w:line="480" w:lineRule="auto"/>
        <w:outlineLvl w:val="0"/>
        <w:rPr>
          <w:rFonts w:ascii="Times New Roman" w:hAnsi="Times New Roman" w:cs="Times New Roman"/>
          <w:sz w:val="22"/>
          <w:szCs w:val="22"/>
        </w:rPr>
      </w:pPr>
      <w:r w:rsidRPr="00B258B7">
        <w:rPr>
          <w:rFonts w:ascii="Times New Roman" w:hAnsi="Times New Roman" w:cs="Times New Roman"/>
          <w:sz w:val="22"/>
          <w:szCs w:val="22"/>
        </w:rPr>
        <w:t>(</w:t>
      </w:r>
      <w:r w:rsidRPr="00B258B7">
        <w:rPr>
          <w:rFonts w:ascii="Times New Roman" w:hAnsi="Times New Roman" w:cs="Times New Roman"/>
          <w:b/>
          <w:bCs/>
          <w:sz w:val="22"/>
          <w:szCs w:val="22"/>
        </w:rPr>
        <w:t>A–B</w:t>
      </w:r>
      <w:r w:rsidRPr="00B258B7">
        <w:rPr>
          <w:rFonts w:ascii="Times New Roman" w:hAnsi="Times New Roman" w:cs="Times New Roman"/>
          <w:sz w:val="22"/>
          <w:szCs w:val="22"/>
        </w:rPr>
        <w:t>) Western blot analysis and quantification of NINJ1 protein expression across various human cell lines, including THP1 (human myeloid leukemia mononuclear cells), HUVEC (human umbilical vein endothelial cells), A549 and H1299 (human non-small cell lung cancer cells), HT29 (human colon cancer cells), OE19 (human esophageal cancer cells), SY5Y (human neuroblastoma cells), 293T (human embryonic kidney cells), and HeLa (human cervical cancer cells).</w:t>
      </w:r>
      <w:r>
        <w:rPr>
          <w:rFonts w:ascii="Times New Roman" w:hAnsi="Times New Roman" w:cs="Times New Roman"/>
          <w:sz w:val="22"/>
          <w:szCs w:val="22"/>
        </w:rPr>
        <w:t xml:space="preserve"> </w:t>
      </w:r>
      <w:r w:rsidRPr="00B258B7">
        <w:rPr>
          <w:rFonts w:ascii="Times New Roman" w:hAnsi="Times New Roman" w:cs="Times New Roman"/>
          <w:sz w:val="22"/>
          <w:szCs w:val="22"/>
        </w:rPr>
        <w:t>(</w:t>
      </w:r>
      <w:r w:rsidRPr="00B258B7">
        <w:rPr>
          <w:rFonts w:ascii="Times New Roman" w:hAnsi="Times New Roman" w:cs="Times New Roman"/>
          <w:b/>
          <w:bCs/>
          <w:sz w:val="22"/>
          <w:szCs w:val="22"/>
        </w:rPr>
        <w:t>C–F</w:t>
      </w:r>
      <w:r w:rsidRPr="00B258B7">
        <w:rPr>
          <w:rFonts w:ascii="Times New Roman" w:hAnsi="Times New Roman" w:cs="Times New Roman"/>
          <w:sz w:val="22"/>
          <w:szCs w:val="22"/>
        </w:rPr>
        <w:t>) Generation of NINJ1-knockout A549 (</w:t>
      </w:r>
      <w:r w:rsidRPr="00B258B7">
        <w:rPr>
          <w:rFonts w:ascii="Times New Roman" w:hAnsi="Times New Roman" w:cs="Times New Roman"/>
          <w:b/>
          <w:bCs/>
          <w:sz w:val="22"/>
          <w:szCs w:val="22"/>
        </w:rPr>
        <w:t>C–D</w:t>
      </w:r>
      <w:r w:rsidRPr="00B258B7">
        <w:rPr>
          <w:rFonts w:ascii="Times New Roman" w:hAnsi="Times New Roman" w:cs="Times New Roman"/>
          <w:sz w:val="22"/>
          <w:szCs w:val="22"/>
        </w:rPr>
        <w:t>) and H1299 (</w:t>
      </w:r>
      <w:r w:rsidRPr="00B258B7">
        <w:rPr>
          <w:rFonts w:ascii="Times New Roman" w:hAnsi="Times New Roman" w:cs="Times New Roman"/>
          <w:b/>
          <w:bCs/>
          <w:sz w:val="22"/>
          <w:szCs w:val="22"/>
        </w:rPr>
        <w:t>E–F</w:t>
      </w:r>
      <w:r w:rsidRPr="00B258B7">
        <w:rPr>
          <w:rFonts w:ascii="Times New Roman" w:hAnsi="Times New Roman" w:cs="Times New Roman"/>
          <w:sz w:val="22"/>
          <w:szCs w:val="22"/>
        </w:rPr>
        <w:t>) cell lines using CRISPR-Cas9.</w:t>
      </w:r>
      <w:r>
        <w:rPr>
          <w:rFonts w:ascii="Times New Roman" w:hAnsi="Times New Roman" w:cs="Times New Roman" w:hint="eastAsia"/>
          <w:sz w:val="22"/>
          <w:szCs w:val="22"/>
        </w:rPr>
        <w:t xml:space="preserve"> </w:t>
      </w:r>
      <w:r w:rsidRPr="00B258B7">
        <w:rPr>
          <w:rFonts w:ascii="Times New Roman" w:hAnsi="Times New Roman" w:cs="Times New Roman"/>
          <w:sz w:val="22"/>
          <w:szCs w:val="22"/>
        </w:rPr>
        <w:t>(</w:t>
      </w:r>
      <w:r w:rsidRPr="00B258B7">
        <w:rPr>
          <w:rFonts w:ascii="Times New Roman" w:hAnsi="Times New Roman" w:cs="Times New Roman"/>
          <w:b/>
          <w:bCs/>
          <w:sz w:val="22"/>
          <w:szCs w:val="22"/>
        </w:rPr>
        <w:t>D, F</w:t>
      </w:r>
      <w:r w:rsidRPr="00B258B7">
        <w:rPr>
          <w:rFonts w:ascii="Times New Roman" w:hAnsi="Times New Roman" w:cs="Times New Roman"/>
          <w:sz w:val="22"/>
          <w:szCs w:val="22"/>
        </w:rPr>
        <w:t>) Quantification of grayscale values from Western blots in panels (</w:t>
      </w:r>
      <w:r w:rsidRPr="00B258B7">
        <w:rPr>
          <w:rFonts w:ascii="Times New Roman" w:hAnsi="Times New Roman" w:cs="Times New Roman"/>
          <w:b/>
          <w:bCs/>
          <w:sz w:val="22"/>
          <w:szCs w:val="22"/>
        </w:rPr>
        <w:t>C</w:t>
      </w:r>
      <w:r w:rsidRPr="00B258B7">
        <w:rPr>
          <w:rFonts w:ascii="Times New Roman" w:hAnsi="Times New Roman" w:cs="Times New Roman"/>
          <w:sz w:val="22"/>
          <w:szCs w:val="22"/>
        </w:rPr>
        <w:t>) and (</w:t>
      </w:r>
      <w:r w:rsidRPr="00B258B7">
        <w:rPr>
          <w:rFonts w:ascii="Times New Roman" w:hAnsi="Times New Roman" w:cs="Times New Roman"/>
          <w:b/>
          <w:bCs/>
          <w:sz w:val="22"/>
          <w:szCs w:val="22"/>
        </w:rPr>
        <w:t>E</w:t>
      </w:r>
      <w:r w:rsidRPr="00B258B7">
        <w:rPr>
          <w:rFonts w:ascii="Times New Roman" w:hAnsi="Times New Roman" w:cs="Times New Roman"/>
          <w:sz w:val="22"/>
          <w:szCs w:val="22"/>
        </w:rPr>
        <w:t>), showing a significant reduction in NINJ1 protein levels following knockout. Gray bars represent wild-type expression; red bars represent NINJ1-knockout expression levels.</w:t>
      </w:r>
      <w:r>
        <w:rPr>
          <w:rFonts w:ascii="Times New Roman" w:hAnsi="Times New Roman" w:cs="Times New Roman" w:hint="eastAsia"/>
          <w:sz w:val="22"/>
          <w:szCs w:val="22"/>
        </w:rPr>
        <w:t xml:space="preserve"> </w:t>
      </w:r>
      <w:r w:rsidR="00BA2521" w:rsidRPr="000938AD">
        <w:rPr>
          <w:rFonts w:ascii="Times New Roman" w:hAnsi="Times New Roman" w:cs="Times New Roman"/>
          <w:sz w:val="22"/>
          <w:szCs w:val="22"/>
        </w:rPr>
        <w:t>*</w:t>
      </w:r>
      <w:r w:rsidR="00BA2521">
        <w:rPr>
          <w:rFonts w:ascii="Times New Roman" w:hAnsi="Times New Roman" w:cs="Times New Roman"/>
          <w:sz w:val="22"/>
          <w:szCs w:val="22"/>
        </w:rPr>
        <w:t xml:space="preserve"> </w:t>
      </w:r>
      <w:r w:rsidR="00BA2521" w:rsidRPr="001C0048">
        <w:rPr>
          <w:rFonts w:ascii="Times New Roman" w:hAnsi="Times New Roman" w:cs="Times New Roman" w:hint="eastAsia"/>
          <w:i/>
          <w:iCs/>
          <w:sz w:val="22"/>
          <w:szCs w:val="22"/>
        </w:rPr>
        <w:t>p</w:t>
      </w:r>
      <w:r w:rsidR="00BA2521">
        <w:rPr>
          <w:rFonts w:ascii="Times New Roman" w:hAnsi="Times New Roman" w:cs="Times New Roman"/>
          <w:sz w:val="22"/>
          <w:szCs w:val="22"/>
        </w:rPr>
        <w:t xml:space="preserve"> </w:t>
      </w:r>
      <w:r w:rsidR="00BA2521" w:rsidRPr="000938AD">
        <w:rPr>
          <w:rFonts w:ascii="Times New Roman" w:hAnsi="Times New Roman" w:cs="Times New Roman"/>
          <w:sz w:val="22"/>
          <w:szCs w:val="22"/>
        </w:rPr>
        <w:t xml:space="preserve">&lt; 0.05; ** </w:t>
      </w:r>
      <w:r w:rsidR="00BA2521" w:rsidRPr="001C0048">
        <w:rPr>
          <w:rFonts w:ascii="Times New Roman" w:hAnsi="Times New Roman" w:cs="Times New Roman" w:hint="eastAsia"/>
          <w:i/>
          <w:iCs/>
          <w:sz w:val="22"/>
          <w:szCs w:val="22"/>
        </w:rPr>
        <w:t>p</w:t>
      </w:r>
      <w:r w:rsidR="00BA2521" w:rsidRPr="000938AD">
        <w:rPr>
          <w:rFonts w:ascii="Times New Roman" w:hAnsi="Times New Roman" w:cs="Times New Roman"/>
          <w:sz w:val="22"/>
          <w:szCs w:val="22"/>
        </w:rPr>
        <w:t xml:space="preserve"> &lt; 0.01.</w:t>
      </w:r>
    </w:p>
    <w:p w14:paraId="44E0E71C" w14:textId="77777777" w:rsidR="00E535BE" w:rsidRDefault="00E535BE" w:rsidP="00A676E8">
      <w:pPr>
        <w:spacing w:line="480" w:lineRule="auto"/>
        <w:rPr>
          <w:rFonts w:ascii="Times New Roman" w:hAnsi="Times New Roman" w:cs="Times New Roman"/>
          <w:b/>
          <w:bCs/>
          <w:sz w:val="22"/>
          <w:szCs w:val="22"/>
        </w:rPr>
      </w:pPr>
      <w:r>
        <w:rPr>
          <w:rFonts w:ascii="Times New Roman" w:hAnsi="Times New Roman" w:cs="Times New Roman"/>
          <w:b/>
          <w:bCs/>
          <w:sz w:val="22"/>
          <w:szCs w:val="22"/>
        </w:rPr>
        <w:br w:type="page"/>
      </w:r>
    </w:p>
    <w:p w14:paraId="790CFAC6" w14:textId="77777777" w:rsidR="0053483C" w:rsidRPr="0053483C" w:rsidRDefault="00E535BE" w:rsidP="00A676E8">
      <w:pPr>
        <w:spacing w:line="480" w:lineRule="auto"/>
        <w:outlineLvl w:val="0"/>
        <w:rPr>
          <w:rFonts w:ascii="Times New Roman" w:hAnsi="Times New Roman" w:cs="Times New Roman"/>
          <w:b/>
          <w:bCs/>
          <w:sz w:val="22"/>
          <w:szCs w:val="22"/>
        </w:rPr>
      </w:pPr>
      <w:r w:rsidRPr="00E535BE">
        <w:rPr>
          <w:rFonts w:ascii="Times New Roman" w:hAnsi="Times New Roman" w:cs="Times New Roman"/>
          <w:b/>
          <w:bCs/>
          <w:noProof/>
          <w:sz w:val="22"/>
          <w:szCs w:val="22"/>
        </w:rPr>
        <w:lastRenderedPageBreak/>
        <w:drawing>
          <wp:inline distT="0" distB="0" distL="0" distR="0" wp14:anchorId="661F3E02" wp14:editId="2233BD0E">
            <wp:extent cx="4813483" cy="5922682"/>
            <wp:effectExtent l="0" t="0" r="0" b="0"/>
            <wp:docPr id="1472408404" name="图片 1" descr="图形用户界面, 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08404" name="图片 1" descr="图形用户界面, 图表&#10;&#10;中度可信度描述已自动生成"/>
                    <pic:cNvPicPr/>
                  </pic:nvPicPr>
                  <pic:blipFill>
                    <a:blip r:embed="rId7"/>
                    <a:stretch>
                      <a:fillRect/>
                    </a:stretch>
                  </pic:blipFill>
                  <pic:spPr>
                    <a:xfrm>
                      <a:off x="0" y="0"/>
                      <a:ext cx="4816276" cy="5926119"/>
                    </a:xfrm>
                    <a:prstGeom prst="rect">
                      <a:avLst/>
                    </a:prstGeom>
                  </pic:spPr>
                </pic:pic>
              </a:graphicData>
            </a:graphic>
          </wp:inline>
        </w:drawing>
      </w:r>
      <w:r w:rsidRPr="00E535BE">
        <w:rPr>
          <w:rFonts w:ascii="Times New Roman" w:hAnsi="Times New Roman" w:cs="Times New Roman" w:hint="eastAsia"/>
          <w:b/>
          <w:bCs/>
          <w:sz w:val="22"/>
          <w:szCs w:val="22"/>
        </w:rPr>
        <w:t xml:space="preserve"> </w:t>
      </w:r>
      <w:r w:rsidR="0053483C" w:rsidRPr="0053483C">
        <w:rPr>
          <w:rFonts w:ascii="Times New Roman" w:hAnsi="Times New Roman" w:cs="Times New Roman"/>
          <w:b/>
          <w:bCs/>
          <w:sz w:val="22"/>
          <w:szCs w:val="22"/>
        </w:rPr>
        <w:t>Figure S3. Assessment of gene expression changes following NINJ1 knockout and evaluation of the cellular duration of NINJ1-derived peptide activity.</w:t>
      </w:r>
    </w:p>
    <w:p w14:paraId="2A3B36C3" w14:textId="0D211ECB" w:rsidR="00AC4305" w:rsidRPr="0053483C" w:rsidRDefault="0053483C" w:rsidP="00A676E8">
      <w:pPr>
        <w:spacing w:line="480" w:lineRule="auto"/>
        <w:outlineLvl w:val="0"/>
        <w:rPr>
          <w:rFonts w:ascii="Times New Roman" w:hAnsi="Times New Roman" w:cs="Times New Roman"/>
          <w:b/>
          <w:bCs/>
          <w:sz w:val="22"/>
          <w:szCs w:val="22"/>
        </w:rPr>
      </w:pPr>
      <w:r w:rsidRPr="0053483C">
        <w:rPr>
          <w:rFonts w:ascii="Times New Roman" w:hAnsi="Times New Roman" w:cs="Times New Roman"/>
          <w:b/>
          <w:bCs/>
          <w:sz w:val="22"/>
          <w:szCs w:val="22"/>
        </w:rPr>
        <w:t xml:space="preserve">(A) </w:t>
      </w:r>
      <w:r w:rsidRPr="0053483C">
        <w:rPr>
          <w:rFonts w:ascii="Times New Roman" w:hAnsi="Times New Roman" w:cs="Times New Roman"/>
          <w:sz w:val="22"/>
          <w:szCs w:val="22"/>
        </w:rPr>
        <w:t xml:space="preserve">Immunofluorescence imaging of 293T cells treated with NINJ1-derived short peptides (5 </w:t>
      </w:r>
      <w:proofErr w:type="spellStart"/>
      <w:r w:rsidRPr="0053483C">
        <w:rPr>
          <w:rFonts w:ascii="Times New Roman" w:hAnsi="Times New Roman" w:cs="Times New Roman"/>
          <w:sz w:val="22"/>
          <w:szCs w:val="22"/>
        </w:rPr>
        <w:t>μM</w:t>
      </w:r>
      <w:proofErr w:type="spellEnd"/>
      <w:r w:rsidRPr="0053483C">
        <w:rPr>
          <w:rFonts w:ascii="Times New Roman" w:hAnsi="Times New Roman" w:cs="Times New Roman"/>
          <w:sz w:val="22"/>
          <w:szCs w:val="22"/>
        </w:rPr>
        <w:t xml:space="preserve">) to evaluate their intracellular retention and effect duration. Green: NBD-labeled peptides; Blue: nuclei (DAPI); BF: bright field. Scale bar: 20 </w:t>
      </w:r>
      <w:proofErr w:type="spellStart"/>
      <w:r w:rsidRPr="0053483C">
        <w:rPr>
          <w:rFonts w:ascii="Times New Roman" w:hAnsi="Times New Roman" w:cs="Times New Roman"/>
          <w:sz w:val="22"/>
          <w:szCs w:val="22"/>
        </w:rPr>
        <w:t>μm</w:t>
      </w:r>
      <w:proofErr w:type="spellEnd"/>
      <w:r w:rsidRPr="0053483C">
        <w:rPr>
          <w:rFonts w:ascii="Times New Roman" w:hAnsi="Times New Roman" w:cs="Times New Roman"/>
          <w:sz w:val="22"/>
          <w:szCs w:val="22"/>
        </w:rPr>
        <w:t>.</w:t>
      </w:r>
      <w:r>
        <w:rPr>
          <w:rFonts w:ascii="Times New Roman" w:hAnsi="Times New Roman" w:cs="Times New Roman" w:hint="eastAsia"/>
          <w:b/>
          <w:bCs/>
          <w:sz w:val="22"/>
          <w:szCs w:val="22"/>
        </w:rPr>
        <w:t xml:space="preserve"> </w:t>
      </w:r>
      <w:r w:rsidRPr="0053483C">
        <w:rPr>
          <w:rFonts w:ascii="Times New Roman" w:hAnsi="Times New Roman" w:cs="Times New Roman"/>
          <w:b/>
          <w:bCs/>
          <w:sz w:val="22"/>
          <w:szCs w:val="22"/>
        </w:rPr>
        <w:t xml:space="preserve">(B) </w:t>
      </w:r>
      <w:r w:rsidRPr="0053483C">
        <w:rPr>
          <w:rFonts w:ascii="Times New Roman" w:hAnsi="Times New Roman" w:cs="Times New Roman"/>
          <w:sz w:val="22"/>
          <w:szCs w:val="22"/>
        </w:rPr>
        <w:t xml:space="preserve">qPCR analysis of transcriptional changes in selected genes in A549 cells following NINJ1 knockout. Gray bars represent the </w:t>
      </w:r>
      <w:r w:rsidRPr="0053483C">
        <w:rPr>
          <w:rFonts w:ascii="Times New Roman" w:hAnsi="Times New Roman" w:cs="Times New Roman"/>
          <w:sz w:val="22"/>
          <w:szCs w:val="22"/>
        </w:rPr>
        <w:lastRenderedPageBreak/>
        <w:t>negative control group; red bars represent the NINJ1-knockout group.</w:t>
      </w:r>
      <w:r>
        <w:rPr>
          <w:rFonts w:ascii="Times New Roman" w:hAnsi="Times New Roman" w:cs="Times New Roman"/>
          <w:b/>
          <w:bCs/>
          <w:sz w:val="22"/>
          <w:szCs w:val="22"/>
        </w:rPr>
        <w:t xml:space="preserve"> </w:t>
      </w:r>
      <w:r w:rsidR="00E45CAD" w:rsidRPr="00E45CAD">
        <w:rPr>
          <w:rFonts w:ascii="Times New Roman" w:hAnsi="Times New Roman" w:cs="Times New Roman"/>
          <w:sz w:val="22"/>
          <w:szCs w:val="22"/>
        </w:rPr>
        <w:t>n</w:t>
      </w:r>
      <w:r w:rsidR="000C770E">
        <w:rPr>
          <w:rFonts w:ascii="Times New Roman" w:hAnsi="Times New Roman" w:cs="Times New Roman"/>
          <w:sz w:val="22"/>
          <w:szCs w:val="22"/>
        </w:rPr>
        <w:t xml:space="preserve">s: no significant difference; </w:t>
      </w:r>
      <w:r w:rsidR="000C770E" w:rsidRPr="000938AD">
        <w:rPr>
          <w:rFonts w:ascii="Times New Roman" w:hAnsi="Times New Roman" w:cs="Times New Roman"/>
          <w:sz w:val="22"/>
          <w:szCs w:val="22"/>
        </w:rPr>
        <w:t>*</w:t>
      </w:r>
      <w:r w:rsidR="000C770E">
        <w:rPr>
          <w:rFonts w:ascii="Times New Roman" w:hAnsi="Times New Roman" w:cs="Times New Roman"/>
          <w:sz w:val="22"/>
          <w:szCs w:val="22"/>
        </w:rPr>
        <w:t xml:space="preserve"> </w:t>
      </w:r>
      <w:r w:rsidR="000C770E" w:rsidRPr="001C0048">
        <w:rPr>
          <w:rFonts w:ascii="Times New Roman" w:hAnsi="Times New Roman" w:cs="Times New Roman" w:hint="eastAsia"/>
          <w:i/>
          <w:iCs/>
          <w:sz w:val="22"/>
          <w:szCs w:val="22"/>
        </w:rPr>
        <w:t>p</w:t>
      </w:r>
      <w:r w:rsidR="000C770E">
        <w:rPr>
          <w:rFonts w:ascii="Times New Roman" w:hAnsi="Times New Roman" w:cs="Times New Roman"/>
          <w:sz w:val="22"/>
          <w:szCs w:val="22"/>
        </w:rPr>
        <w:t xml:space="preserve"> </w:t>
      </w:r>
      <w:r w:rsidR="000C770E" w:rsidRPr="000938AD">
        <w:rPr>
          <w:rFonts w:ascii="Times New Roman" w:hAnsi="Times New Roman" w:cs="Times New Roman"/>
          <w:sz w:val="22"/>
          <w:szCs w:val="22"/>
        </w:rPr>
        <w:t xml:space="preserve">&lt; 0.05; ** </w:t>
      </w:r>
      <w:r w:rsidR="000C770E" w:rsidRPr="001C0048">
        <w:rPr>
          <w:rFonts w:ascii="Times New Roman" w:hAnsi="Times New Roman" w:cs="Times New Roman" w:hint="eastAsia"/>
          <w:i/>
          <w:iCs/>
          <w:sz w:val="22"/>
          <w:szCs w:val="22"/>
        </w:rPr>
        <w:t>p</w:t>
      </w:r>
      <w:r w:rsidR="000C770E" w:rsidRPr="000938AD">
        <w:rPr>
          <w:rFonts w:ascii="Times New Roman" w:hAnsi="Times New Roman" w:cs="Times New Roman"/>
          <w:sz w:val="22"/>
          <w:szCs w:val="22"/>
        </w:rPr>
        <w:t xml:space="preserve"> &lt; 0.01; *** </w:t>
      </w:r>
      <w:r w:rsidR="000C770E" w:rsidRPr="001C0048">
        <w:rPr>
          <w:rFonts w:ascii="Times New Roman" w:hAnsi="Times New Roman" w:cs="Times New Roman" w:hint="eastAsia"/>
          <w:i/>
          <w:iCs/>
          <w:sz w:val="22"/>
          <w:szCs w:val="22"/>
        </w:rPr>
        <w:t>p</w:t>
      </w:r>
      <w:r w:rsidR="000C770E" w:rsidRPr="000938AD">
        <w:rPr>
          <w:rFonts w:ascii="Times New Roman" w:hAnsi="Times New Roman" w:cs="Times New Roman"/>
          <w:sz w:val="22"/>
          <w:szCs w:val="22"/>
        </w:rPr>
        <w:t xml:space="preserve"> &lt; 0.001; **** </w:t>
      </w:r>
      <w:r w:rsidR="000C770E" w:rsidRPr="001C0048">
        <w:rPr>
          <w:rFonts w:ascii="Times New Roman" w:hAnsi="Times New Roman" w:cs="Times New Roman" w:hint="eastAsia"/>
          <w:i/>
          <w:iCs/>
          <w:sz w:val="22"/>
          <w:szCs w:val="22"/>
        </w:rPr>
        <w:t>p</w:t>
      </w:r>
      <w:r w:rsidR="000C770E" w:rsidRPr="000938AD">
        <w:rPr>
          <w:rFonts w:ascii="Times New Roman" w:hAnsi="Times New Roman" w:cs="Times New Roman"/>
          <w:sz w:val="22"/>
          <w:szCs w:val="22"/>
        </w:rPr>
        <w:t xml:space="preserve"> &lt; 0.0001.</w:t>
      </w:r>
    </w:p>
    <w:p w14:paraId="61C32093" w14:textId="77777777" w:rsidR="0097635C" w:rsidRDefault="00E535BE" w:rsidP="00A676E8">
      <w:pPr>
        <w:spacing w:line="480" w:lineRule="auto"/>
        <w:rPr>
          <w:rFonts w:ascii="Times New Roman" w:hAnsi="Times New Roman" w:cs="Times New Roman"/>
          <w:sz w:val="22"/>
          <w:szCs w:val="22"/>
        </w:rPr>
      </w:pPr>
      <w:r>
        <w:rPr>
          <w:rFonts w:ascii="Times New Roman" w:hAnsi="Times New Roman" w:cs="Times New Roman"/>
          <w:b/>
          <w:bCs/>
          <w:sz w:val="22"/>
          <w:szCs w:val="22"/>
        </w:rPr>
        <w:br w:type="page"/>
      </w:r>
    </w:p>
    <w:p w14:paraId="6494A63B" w14:textId="77777777" w:rsidR="002138C2" w:rsidRPr="002138C2" w:rsidRDefault="0097635C" w:rsidP="00A676E8">
      <w:pPr>
        <w:spacing w:line="480" w:lineRule="auto"/>
        <w:outlineLvl w:val="0"/>
        <w:rPr>
          <w:rFonts w:ascii="Times New Roman" w:hAnsi="Times New Roman" w:cs="Times New Roman"/>
          <w:b/>
          <w:bCs/>
          <w:sz w:val="22"/>
          <w:szCs w:val="22"/>
        </w:rPr>
      </w:pPr>
      <w:r w:rsidRPr="00E535BE">
        <w:rPr>
          <w:rFonts w:ascii="Times New Roman" w:hAnsi="Times New Roman" w:cs="Times New Roman"/>
          <w:b/>
          <w:bCs/>
          <w:noProof/>
          <w:sz w:val="22"/>
          <w:szCs w:val="22"/>
        </w:rPr>
        <w:lastRenderedPageBreak/>
        <w:drawing>
          <wp:inline distT="0" distB="0" distL="0" distR="0" wp14:anchorId="0A9C87DC" wp14:editId="3214C47C">
            <wp:extent cx="5274310" cy="7279005"/>
            <wp:effectExtent l="0" t="0" r="0" b="0"/>
            <wp:docPr id="1774672850"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72850" name="图片 1" descr="图片包含 图表&#10;&#10;描述已自动生成"/>
                    <pic:cNvPicPr/>
                  </pic:nvPicPr>
                  <pic:blipFill>
                    <a:blip r:embed="rId8"/>
                    <a:stretch>
                      <a:fillRect/>
                    </a:stretch>
                  </pic:blipFill>
                  <pic:spPr>
                    <a:xfrm>
                      <a:off x="0" y="0"/>
                      <a:ext cx="5274310" cy="7279005"/>
                    </a:xfrm>
                    <a:prstGeom prst="rect">
                      <a:avLst/>
                    </a:prstGeom>
                  </pic:spPr>
                </pic:pic>
              </a:graphicData>
            </a:graphic>
          </wp:inline>
        </w:drawing>
      </w:r>
      <w:r w:rsidRPr="00E535BE">
        <w:rPr>
          <w:rFonts w:ascii="Times New Roman" w:hAnsi="Times New Roman" w:cs="Times New Roman" w:hint="eastAsia"/>
          <w:b/>
          <w:bCs/>
          <w:sz w:val="22"/>
          <w:szCs w:val="22"/>
        </w:rPr>
        <w:t xml:space="preserve"> </w:t>
      </w:r>
      <w:r w:rsidR="002138C2" w:rsidRPr="002138C2">
        <w:rPr>
          <w:rFonts w:ascii="Times New Roman" w:hAnsi="Times New Roman" w:cs="Times New Roman"/>
          <w:b/>
          <w:bCs/>
          <w:sz w:val="22"/>
          <w:szCs w:val="22"/>
        </w:rPr>
        <w:t>Figure S4. NINJ1 deficiency exacerbates apoptosis while reducing cell membrane rupture in A549 and H1299 cells.</w:t>
      </w:r>
    </w:p>
    <w:p w14:paraId="15C58E0F" w14:textId="4EB6FDE2" w:rsidR="0097635C" w:rsidRDefault="002138C2" w:rsidP="00A676E8">
      <w:pPr>
        <w:spacing w:line="480" w:lineRule="auto"/>
        <w:outlineLvl w:val="0"/>
        <w:rPr>
          <w:rFonts w:ascii="Times New Roman" w:hAnsi="Times New Roman" w:cs="Times New Roman"/>
          <w:sz w:val="22"/>
          <w:szCs w:val="22"/>
        </w:rPr>
      </w:pPr>
      <w:r w:rsidRPr="002138C2">
        <w:rPr>
          <w:rFonts w:ascii="Times New Roman" w:hAnsi="Times New Roman" w:cs="Times New Roman"/>
          <w:sz w:val="22"/>
          <w:szCs w:val="22"/>
        </w:rPr>
        <w:t>(</w:t>
      </w:r>
      <w:r w:rsidRPr="002138C2">
        <w:rPr>
          <w:rFonts w:ascii="Times New Roman" w:hAnsi="Times New Roman" w:cs="Times New Roman"/>
          <w:b/>
          <w:bCs/>
          <w:sz w:val="22"/>
          <w:szCs w:val="22"/>
        </w:rPr>
        <w:t>A, C</w:t>
      </w:r>
      <w:r w:rsidRPr="002138C2">
        <w:rPr>
          <w:rFonts w:ascii="Times New Roman" w:hAnsi="Times New Roman" w:cs="Times New Roman"/>
          <w:sz w:val="22"/>
          <w:szCs w:val="22"/>
        </w:rPr>
        <w:t>) CCK-8 assays evaluating cell viability in wild-type and NINJ1-knockout A549 (</w:t>
      </w:r>
      <w:r w:rsidRPr="002138C2">
        <w:rPr>
          <w:rFonts w:ascii="Times New Roman" w:hAnsi="Times New Roman" w:cs="Times New Roman"/>
          <w:b/>
          <w:bCs/>
          <w:sz w:val="22"/>
          <w:szCs w:val="22"/>
        </w:rPr>
        <w:t>A</w:t>
      </w:r>
      <w:r w:rsidRPr="002138C2">
        <w:rPr>
          <w:rFonts w:ascii="Times New Roman" w:hAnsi="Times New Roman" w:cs="Times New Roman"/>
          <w:sz w:val="22"/>
          <w:szCs w:val="22"/>
        </w:rPr>
        <w:t>) and H1299 (</w:t>
      </w:r>
      <w:r w:rsidRPr="002138C2">
        <w:rPr>
          <w:rFonts w:ascii="Times New Roman" w:hAnsi="Times New Roman" w:cs="Times New Roman"/>
          <w:b/>
          <w:bCs/>
          <w:sz w:val="22"/>
          <w:szCs w:val="22"/>
        </w:rPr>
        <w:t>C</w:t>
      </w:r>
      <w:r w:rsidRPr="002138C2">
        <w:rPr>
          <w:rFonts w:ascii="Times New Roman" w:hAnsi="Times New Roman" w:cs="Times New Roman"/>
          <w:sz w:val="22"/>
          <w:szCs w:val="22"/>
        </w:rPr>
        <w:t xml:space="preserve">) cells treated with apoptosis-, necrosis-, or </w:t>
      </w:r>
      <w:proofErr w:type="spellStart"/>
      <w:r w:rsidRPr="002138C2">
        <w:rPr>
          <w:rFonts w:ascii="Times New Roman" w:hAnsi="Times New Roman" w:cs="Times New Roman"/>
          <w:sz w:val="22"/>
          <w:szCs w:val="22"/>
        </w:rPr>
        <w:t>pyroptosis</w:t>
      </w:r>
      <w:proofErr w:type="spellEnd"/>
      <w:r w:rsidRPr="002138C2">
        <w:rPr>
          <w:rFonts w:ascii="Times New Roman" w:hAnsi="Times New Roman" w:cs="Times New Roman"/>
          <w:sz w:val="22"/>
          <w:szCs w:val="22"/>
        </w:rPr>
        <w:t>-inducing agents.</w:t>
      </w:r>
      <w:r>
        <w:rPr>
          <w:rFonts w:ascii="Times New Roman" w:hAnsi="Times New Roman" w:cs="Times New Roman" w:hint="eastAsia"/>
          <w:sz w:val="22"/>
          <w:szCs w:val="22"/>
        </w:rPr>
        <w:t xml:space="preserve"> </w:t>
      </w:r>
      <w:r w:rsidRPr="002138C2">
        <w:rPr>
          <w:rFonts w:ascii="Times New Roman" w:hAnsi="Times New Roman" w:cs="Times New Roman"/>
          <w:sz w:val="22"/>
          <w:szCs w:val="22"/>
        </w:rPr>
        <w:t xml:space="preserve">Apoptosis </w:t>
      </w:r>
      <w:r w:rsidRPr="002138C2">
        <w:rPr>
          <w:rFonts w:ascii="Times New Roman" w:hAnsi="Times New Roman" w:cs="Times New Roman"/>
          <w:sz w:val="22"/>
          <w:szCs w:val="22"/>
        </w:rPr>
        <w:lastRenderedPageBreak/>
        <w:t xml:space="preserve">was induced using TNFα (T, 50 ng/mL) + cycloheximide (CHX, 20 </w:t>
      </w:r>
      <w:proofErr w:type="spellStart"/>
      <w:r w:rsidRPr="002138C2">
        <w:rPr>
          <w:rFonts w:ascii="Times New Roman" w:hAnsi="Times New Roman" w:cs="Times New Roman"/>
          <w:sz w:val="22"/>
          <w:szCs w:val="22"/>
        </w:rPr>
        <w:t>nM</w:t>
      </w:r>
      <w:proofErr w:type="spellEnd"/>
      <w:r w:rsidRPr="002138C2">
        <w:rPr>
          <w:rFonts w:ascii="Times New Roman" w:hAnsi="Times New Roman" w:cs="Times New Roman"/>
          <w:sz w:val="22"/>
          <w:szCs w:val="22"/>
        </w:rPr>
        <w:t xml:space="preserve">) or TNFα + SM164 (100 </w:t>
      </w:r>
      <w:proofErr w:type="spellStart"/>
      <w:r w:rsidRPr="002138C2">
        <w:rPr>
          <w:rFonts w:ascii="Times New Roman" w:hAnsi="Times New Roman" w:cs="Times New Roman"/>
          <w:sz w:val="22"/>
          <w:szCs w:val="22"/>
        </w:rPr>
        <w:t>nM</w:t>
      </w:r>
      <w:proofErr w:type="spellEnd"/>
      <w:r w:rsidRPr="002138C2">
        <w:rPr>
          <w:rFonts w:ascii="Times New Roman" w:hAnsi="Times New Roman" w:cs="Times New Roman"/>
          <w:sz w:val="22"/>
          <w:szCs w:val="22"/>
        </w:rPr>
        <w:t>).</w:t>
      </w:r>
      <w:r>
        <w:rPr>
          <w:rFonts w:ascii="Times New Roman" w:hAnsi="Times New Roman" w:cs="Times New Roman" w:hint="eastAsia"/>
          <w:sz w:val="22"/>
          <w:szCs w:val="22"/>
        </w:rPr>
        <w:t xml:space="preserve"> </w:t>
      </w:r>
      <w:r w:rsidRPr="002138C2">
        <w:rPr>
          <w:rFonts w:ascii="Times New Roman" w:hAnsi="Times New Roman" w:cs="Times New Roman"/>
          <w:sz w:val="22"/>
          <w:szCs w:val="22"/>
        </w:rPr>
        <w:t xml:space="preserve">Necrosis was induced using TNFα + SM164 + ZVAD (5 </w:t>
      </w:r>
      <w:proofErr w:type="spellStart"/>
      <w:r w:rsidRPr="002138C2">
        <w:rPr>
          <w:rFonts w:ascii="Times New Roman" w:hAnsi="Times New Roman" w:cs="Times New Roman"/>
          <w:sz w:val="22"/>
          <w:szCs w:val="22"/>
        </w:rPr>
        <w:t>μM</w:t>
      </w:r>
      <w:proofErr w:type="spellEnd"/>
      <w:r w:rsidRPr="002138C2">
        <w:rPr>
          <w:rFonts w:ascii="Times New Roman" w:hAnsi="Times New Roman" w:cs="Times New Roman"/>
          <w:sz w:val="22"/>
          <w:szCs w:val="22"/>
        </w:rPr>
        <w:t>).</w:t>
      </w:r>
      <w:r>
        <w:rPr>
          <w:rFonts w:ascii="Times New Roman" w:hAnsi="Times New Roman" w:cs="Times New Roman" w:hint="eastAsia"/>
          <w:sz w:val="22"/>
          <w:szCs w:val="22"/>
        </w:rPr>
        <w:t xml:space="preserve"> </w:t>
      </w:r>
      <w:proofErr w:type="spellStart"/>
      <w:r w:rsidRPr="002138C2">
        <w:rPr>
          <w:rFonts w:ascii="Times New Roman" w:hAnsi="Times New Roman" w:cs="Times New Roman"/>
          <w:sz w:val="22"/>
          <w:szCs w:val="22"/>
        </w:rPr>
        <w:t>Pyroptosis</w:t>
      </w:r>
      <w:proofErr w:type="spellEnd"/>
      <w:r w:rsidRPr="002138C2">
        <w:rPr>
          <w:rFonts w:ascii="Times New Roman" w:hAnsi="Times New Roman" w:cs="Times New Roman"/>
          <w:sz w:val="22"/>
          <w:szCs w:val="22"/>
        </w:rPr>
        <w:t xml:space="preserve"> was induced using LPS (1 </w:t>
      </w:r>
      <w:proofErr w:type="spellStart"/>
      <w:r w:rsidRPr="002138C2">
        <w:rPr>
          <w:rFonts w:ascii="Times New Roman" w:hAnsi="Times New Roman" w:cs="Times New Roman"/>
          <w:sz w:val="22"/>
          <w:szCs w:val="22"/>
        </w:rPr>
        <w:t>μg</w:t>
      </w:r>
      <w:proofErr w:type="spellEnd"/>
      <w:r w:rsidRPr="002138C2">
        <w:rPr>
          <w:rFonts w:ascii="Times New Roman" w:hAnsi="Times New Roman" w:cs="Times New Roman"/>
          <w:sz w:val="22"/>
          <w:szCs w:val="22"/>
        </w:rPr>
        <w:t xml:space="preserve">/mL) followed by Nigericin (20 </w:t>
      </w:r>
      <w:proofErr w:type="spellStart"/>
      <w:r w:rsidRPr="002138C2">
        <w:rPr>
          <w:rFonts w:ascii="Times New Roman" w:hAnsi="Times New Roman" w:cs="Times New Roman"/>
          <w:sz w:val="22"/>
          <w:szCs w:val="22"/>
        </w:rPr>
        <w:t>nM</w:t>
      </w:r>
      <w:proofErr w:type="spellEnd"/>
      <w:r w:rsidRPr="002138C2">
        <w:rPr>
          <w:rFonts w:ascii="Times New Roman" w:hAnsi="Times New Roman" w:cs="Times New Roman"/>
          <w:sz w:val="22"/>
          <w:szCs w:val="22"/>
        </w:rPr>
        <w:t>).</w:t>
      </w:r>
      <w:r>
        <w:rPr>
          <w:rFonts w:ascii="Times New Roman" w:hAnsi="Times New Roman" w:cs="Times New Roman"/>
          <w:sz w:val="22"/>
          <w:szCs w:val="22"/>
        </w:rPr>
        <w:t xml:space="preserve"> </w:t>
      </w:r>
      <w:r w:rsidRPr="002138C2">
        <w:rPr>
          <w:rFonts w:ascii="Times New Roman" w:hAnsi="Times New Roman" w:cs="Times New Roman"/>
          <w:sz w:val="22"/>
          <w:szCs w:val="22"/>
        </w:rPr>
        <w:t xml:space="preserve">For apoptotic and necrotic conditions, TNFα was added for 2 hours, followed by CHX/SM164 or SM164/ZVAD for an additional 4 hours. For </w:t>
      </w:r>
      <w:proofErr w:type="spellStart"/>
      <w:r w:rsidRPr="002138C2">
        <w:rPr>
          <w:rFonts w:ascii="Times New Roman" w:hAnsi="Times New Roman" w:cs="Times New Roman"/>
          <w:sz w:val="22"/>
          <w:szCs w:val="22"/>
        </w:rPr>
        <w:t>pyroptosis</w:t>
      </w:r>
      <w:proofErr w:type="spellEnd"/>
      <w:r w:rsidRPr="002138C2">
        <w:rPr>
          <w:rFonts w:ascii="Times New Roman" w:hAnsi="Times New Roman" w:cs="Times New Roman"/>
          <w:sz w:val="22"/>
          <w:szCs w:val="22"/>
        </w:rPr>
        <w:t>, LPS was added for 2 hours, followed by Nigericin for 4 hours.</w:t>
      </w:r>
      <w:r>
        <w:rPr>
          <w:rFonts w:ascii="Times New Roman" w:hAnsi="Times New Roman" w:cs="Times New Roman" w:hint="eastAsia"/>
          <w:sz w:val="22"/>
          <w:szCs w:val="22"/>
        </w:rPr>
        <w:t xml:space="preserve"> </w:t>
      </w:r>
      <w:r w:rsidRPr="002138C2">
        <w:rPr>
          <w:rFonts w:ascii="Times New Roman" w:hAnsi="Times New Roman" w:cs="Times New Roman"/>
          <w:sz w:val="22"/>
          <w:szCs w:val="22"/>
        </w:rPr>
        <w:t>(</w:t>
      </w:r>
      <w:r w:rsidRPr="002138C2">
        <w:rPr>
          <w:rFonts w:ascii="Times New Roman" w:hAnsi="Times New Roman" w:cs="Times New Roman"/>
          <w:b/>
          <w:bCs/>
          <w:sz w:val="22"/>
          <w:szCs w:val="22"/>
        </w:rPr>
        <w:t>B, D</w:t>
      </w:r>
      <w:r w:rsidRPr="002138C2">
        <w:rPr>
          <w:rFonts w:ascii="Times New Roman" w:hAnsi="Times New Roman" w:cs="Times New Roman"/>
          <w:sz w:val="22"/>
          <w:szCs w:val="22"/>
        </w:rPr>
        <w:t>) LDH release assays measuring cell membrane rupture in A549 (</w:t>
      </w:r>
      <w:r w:rsidRPr="002138C2">
        <w:rPr>
          <w:rFonts w:ascii="Times New Roman" w:hAnsi="Times New Roman" w:cs="Times New Roman"/>
          <w:b/>
          <w:bCs/>
          <w:sz w:val="22"/>
          <w:szCs w:val="22"/>
        </w:rPr>
        <w:t>B</w:t>
      </w:r>
      <w:r w:rsidRPr="002138C2">
        <w:rPr>
          <w:rFonts w:ascii="Times New Roman" w:hAnsi="Times New Roman" w:cs="Times New Roman"/>
          <w:sz w:val="22"/>
          <w:szCs w:val="22"/>
        </w:rPr>
        <w:t>) and H1299 (</w:t>
      </w:r>
      <w:r w:rsidRPr="002138C2">
        <w:rPr>
          <w:rFonts w:ascii="Times New Roman" w:hAnsi="Times New Roman" w:cs="Times New Roman"/>
          <w:b/>
          <w:bCs/>
          <w:sz w:val="22"/>
          <w:szCs w:val="22"/>
        </w:rPr>
        <w:t>D</w:t>
      </w:r>
      <w:r w:rsidRPr="002138C2">
        <w:rPr>
          <w:rFonts w:ascii="Times New Roman" w:hAnsi="Times New Roman" w:cs="Times New Roman"/>
          <w:sz w:val="22"/>
          <w:szCs w:val="22"/>
        </w:rPr>
        <w:t>) cells under the same conditions as above.</w:t>
      </w:r>
      <w:r>
        <w:rPr>
          <w:rFonts w:ascii="Times New Roman" w:hAnsi="Times New Roman" w:cs="Times New Roman" w:hint="eastAsia"/>
          <w:sz w:val="22"/>
          <w:szCs w:val="22"/>
        </w:rPr>
        <w:t xml:space="preserve"> </w:t>
      </w:r>
      <w:r w:rsidRPr="002138C2">
        <w:rPr>
          <w:rFonts w:ascii="Times New Roman" w:hAnsi="Times New Roman" w:cs="Times New Roman"/>
          <w:sz w:val="22"/>
          <w:szCs w:val="22"/>
        </w:rPr>
        <w:t>(</w:t>
      </w:r>
      <w:r w:rsidRPr="002138C2">
        <w:rPr>
          <w:rFonts w:ascii="Times New Roman" w:hAnsi="Times New Roman" w:cs="Times New Roman"/>
          <w:b/>
          <w:bCs/>
          <w:sz w:val="22"/>
          <w:szCs w:val="22"/>
        </w:rPr>
        <w:t>E</w:t>
      </w:r>
      <w:r w:rsidRPr="002138C2">
        <w:rPr>
          <w:rFonts w:ascii="Times New Roman" w:hAnsi="Times New Roman" w:cs="Times New Roman"/>
          <w:sz w:val="22"/>
          <w:szCs w:val="22"/>
        </w:rPr>
        <w:t xml:space="preserve">) H1299 cells were pre-treated with NINJ1-derived short peptides for 1 hour, followed by </w:t>
      </w:r>
      <w:proofErr w:type="spellStart"/>
      <w:r w:rsidRPr="002138C2">
        <w:rPr>
          <w:rFonts w:ascii="Times New Roman" w:hAnsi="Times New Roman" w:cs="Times New Roman"/>
          <w:sz w:val="22"/>
          <w:szCs w:val="22"/>
        </w:rPr>
        <w:t>pyroptosis</w:t>
      </w:r>
      <w:proofErr w:type="spellEnd"/>
      <w:r w:rsidRPr="002138C2">
        <w:rPr>
          <w:rFonts w:ascii="Times New Roman" w:hAnsi="Times New Roman" w:cs="Times New Roman"/>
          <w:sz w:val="22"/>
          <w:szCs w:val="22"/>
        </w:rPr>
        <w:t xml:space="preserve"> induction using LPS and Nigericin. Cell viability was assessed by CCK-8 at </w:t>
      </w:r>
      <w:proofErr w:type="gramStart"/>
      <w:r w:rsidRPr="002138C2">
        <w:rPr>
          <w:rFonts w:ascii="Times New Roman" w:hAnsi="Times New Roman" w:cs="Times New Roman"/>
          <w:sz w:val="22"/>
          <w:szCs w:val="22"/>
        </w:rPr>
        <w:t>1, 4, and 16 hours</w:t>
      </w:r>
      <w:proofErr w:type="gramEnd"/>
      <w:r w:rsidRPr="002138C2">
        <w:rPr>
          <w:rFonts w:ascii="Times New Roman" w:hAnsi="Times New Roman" w:cs="Times New Roman"/>
          <w:sz w:val="22"/>
          <w:szCs w:val="22"/>
        </w:rPr>
        <w:t xml:space="preserve"> post-induction.</w:t>
      </w:r>
      <w:r>
        <w:rPr>
          <w:rFonts w:ascii="Times New Roman" w:hAnsi="Times New Roman" w:cs="Times New Roman" w:hint="eastAsia"/>
          <w:sz w:val="22"/>
          <w:szCs w:val="22"/>
        </w:rPr>
        <w:t xml:space="preserve"> </w:t>
      </w:r>
      <w:r w:rsidRPr="002138C2">
        <w:rPr>
          <w:rFonts w:ascii="Times New Roman" w:hAnsi="Times New Roman" w:cs="Times New Roman"/>
          <w:sz w:val="22"/>
          <w:szCs w:val="22"/>
        </w:rPr>
        <w:t>(</w:t>
      </w:r>
      <w:r w:rsidRPr="002138C2">
        <w:rPr>
          <w:rFonts w:ascii="Times New Roman" w:hAnsi="Times New Roman" w:cs="Times New Roman"/>
          <w:b/>
          <w:bCs/>
          <w:sz w:val="22"/>
          <w:szCs w:val="22"/>
        </w:rPr>
        <w:t>F</w:t>
      </w:r>
      <w:r w:rsidRPr="002138C2">
        <w:rPr>
          <w:rFonts w:ascii="Times New Roman" w:hAnsi="Times New Roman" w:cs="Times New Roman"/>
          <w:sz w:val="22"/>
          <w:szCs w:val="22"/>
        </w:rPr>
        <w:t>) LDH assay measuring membrane damage in pyroptotic H1299 cells treated as described in (</w:t>
      </w:r>
      <w:r w:rsidRPr="002138C2">
        <w:rPr>
          <w:rFonts w:ascii="Times New Roman" w:hAnsi="Times New Roman" w:cs="Times New Roman"/>
          <w:b/>
          <w:bCs/>
          <w:sz w:val="22"/>
          <w:szCs w:val="22"/>
        </w:rPr>
        <w:t>E</w:t>
      </w:r>
      <w:r w:rsidRPr="002138C2">
        <w:rPr>
          <w:rFonts w:ascii="Times New Roman" w:hAnsi="Times New Roman" w:cs="Times New Roman"/>
          <w:sz w:val="22"/>
          <w:szCs w:val="22"/>
        </w:rPr>
        <w:t>).</w:t>
      </w:r>
      <w:r>
        <w:rPr>
          <w:rFonts w:ascii="Times New Roman" w:hAnsi="Times New Roman" w:cs="Times New Roman" w:hint="eastAsia"/>
          <w:sz w:val="22"/>
          <w:szCs w:val="22"/>
        </w:rPr>
        <w:t xml:space="preserve"> </w:t>
      </w:r>
      <w:r w:rsidRPr="002138C2">
        <w:rPr>
          <w:rFonts w:ascii="Times New Roman" w:hAnsi="Times New Roman" w:cs="Times New Roman"/>
          <w:sz w:val="22"/>
          <w:szCs w:val="22"/>
        </w:rPr>
        <w:t xml:space="preserve">LPS (1 </w:t>
      </w:r>
      <w:proofErr w:type="spellStart"/>
      <w:r w:rsidRPr="002138C2">
        <w:rPr>
          <w:rFonts w:ascii="Times New Roman" w:hAnsi="Times New Roman" w:cs="Times New Roman"/>
          <w:sz w:val="22"/>
          <w:szCs w:val="22"/>
        </w:rPr>
        <w:t>μg</w:t>
      </w:r>
      <w:proofErr w:type="spellEnd"/>
      <w:r w:rsidRPr="002138C2">
        <w:rPr>
          <w:rFonts w:ascii="Times New Roman" w:hAnsi="Times New Roman" w:cs="Times New Roman"/>
          <w:sz w:val="22"/>
          <w:szCs w:val="22"/>
        </w:rPr>
        <w:t xml:space="preserve">/mL) was added for 2 hours, followed by Nigericin (20 </w:t>
      </w:r>
      <w:proofErr w:type="spellStart"/>
      <w:r w:rsidRPr="002138C2">
        <w:rPr>
          <w:rFonts w:ascii="Times New Roman" w:hAnsi="Times New Roman" w:cs="Times New Roman"/>
          <w:sz w:val="22"/>
          <w:szCs w:val="22"/>
        </w:rPr>
        <w:t>nM</w:t>
      </w:r>
      <w:proofErr w:type="spellEnd"/>
      <w:r w:rsidRPr="002138C2">
        <w:rPr>
          <w:rFonts w:ascii="Times New Roman" w:hAnsi="Times New Roman" w:cs="Times New Roman"/>
          <w:sz w:val="22"/>
          <w:szCs w:val="22"/>
        </w:rPr>
        <w:t>) for 1, 4, or 16 hours.</w:t>
      </w:r>
      <w:r>
        <w:rPr>
          <w:rFonts w:ascii="Times New Roman" w:hAnsi="Times New Roman" w:cs="Times New Roman"/>
          <w:sz w:val="22"/>
          <w:szCs w:val="22"/>
        </w:rPr>
        <w:t xml:space="preserve"> </w:t>
      </w:r>
      <w:r w:rsidR="0097635C">
        <w:rPr>
          <w:rFonts w:ascii="Times New Roman" w:hAnsi="Times New Roman" w:cs="Times New Roman"/>
          <w:sz w:val="22"/>
          <w:szCs w:val="22"/>
        </w:rPr>
        <w:t xml:space="preserve">ns: no significant difference; </w:t>
      </w:r>
      <w:r w:rsidR="0097635C" w:rsidRPr="000938AD">
        <w:rPr>
          <w:rFonts w:ascii="Times New Roman" w:hAnsi="Times New Roman" w:cs="Times New Roman"/>
          <w:sz w:val="22"/>
          <w:szCs w:val="22"/>
        </w:rPr>
        <w:t>*</w:t>
      </w:r>
      <w:r w:rsidR="0097635C">
        <w:rPr>
          <w:rFonts w:ascii="Times New Roman" w:hAnsi="Times New Roman" w:cs="Times New Roman"/>
          <w:sz w:val="22"/>
          <w:szCs w:val="22"/>
        </w:rPr>
        <w:t xml:space="preserve"> </w:t>
      </w:r>
      <w:r w:rsidR="0097635C" w:rsidRPr="001C0048">
        <w:rPr>
          <w:rFonts w:ascii="Times New Roman" w:hAnsi="Times New Roman" w:cs="Times New Roman" w:hint="eastAsia"/>
          <w:i/>
          <w:iCs/>
          <w:sz w:val="22"/>
          <w:szCs w:val="22"/>
        </w:rPr>
        <w:t>p</w:t>
      </w:r>
      <w:r w:rsidR="0097635C">
        <w:rPr>
          <w:rFonts w:ascii="Times New Roman" w:hAnsi="Times New Roman" w:cs="Times New Roman"/>
          <w:sz w:val="22"/>
          <w:szCs w:val="22"/>
        </w:rPr>
        <w:t xml:space="preserve"> </w:t>
      </w:r>
      <w:r w:rsidR="0097635C" w:rsidRPr="000938AD">
        <w:rPr>
          <w:rFonts w:ascii="Times New Roman" w:hAnsi="Times New Roman" w:cs="Times New Roman"/>
          <w:sz w:val="22"/>
          <w:szCs w:val="22"/>
        </w:rPr>
        <w:t xml:space="preserve">&lt; 0.05; ** </w:t>
      </w:r>
      <w:r w:rsidR="0097635C" w:rsidRPr="001C0048">
        <w:rPr>
          <w:rFonts w:ascii="Times New Roman" w:hAnsi="Times New Roman" w:cs="Times New Roman" w:hint="eastAsia"/>
          <w:i/>
          <w:iCs/>
          <w:sz w:val="22"/>
          <w:szCs w:val="22"/>
        </w:rPr>
        <w:t>p</w:t>
      </w:r>
      <w:r w:rsidR="0097635C" w:rsidRPr="000938AD">
        <w:rPr>
          <w:rFonts w:ascii="Times New Roman" w:hAnsi="Times New Roman" w:cs="Times New Roman"/>
          <w:sz w:val="22"/>
          <w:szCs w:val="22"/>
        </w:rPr>
        <w:t xml:space="preserve"> &lt; 0.01; *** </w:t>
      </w:r>
      <w:r w:rsidR="0097635C" w:rsidRPr="001C0048">
        <w:rPr>
          <w:rFonts w:ascii="Times New Roman" w:hAnsi="Times New Roman" w:cs="Times New Roman" w:hint="eastAsia"/>
          <w:i/>
          <w:iCs/>
          <w:sz w:val="22"/>
          <w:szCs w:val="22"/>
        </w:rPr>
        <w:t>p</w:t>
      </w:r>
      <w:r w:rsidR="0097635C" w:rsidRPr="000938AD">
        <w:rPr>
          <w:rFonts w:ascii="Times New Roman" w:hAnsi="Times New Roman" w:cs="Times New Roman"/>
          <w:sz w:val="22"/>
          <w:szCs w:val="22"/>
        </w:rPr>
        <w:t xml:space="preserve"> &lt; 0.001; **** </w:t>
      </w:r>
      <w:r w:rsidR="0097635C" w:rsidRPr="001C0048">
        <w:rPr>
          <w:rFonts w:ascii="Times New Roman" w:hAnsi="Times New Roman" w:cs="Times New Roman" w:hint="eastAsia"/>
          <w:i/>
          <w:iCs/>
          <w:sz w:val="22"/>
          <w:szCs w:val="22"/>
        </w:rPr>
        <w:t>p</w:t>
      </w:r>
      <w:r w:rsidR="0097635C" w:rsidRPr="000938AD">
        <w:rPr>
          <w:rFonts w:ascii="Times New Roman" w:hAnsi="Times New Roman" w:cs="Times New Roman"/>
          <w:sz w:val="22"/>
          <w:szCs w:val="22"/>
        </w:rPr>
        <w:t xml:space="preserve"> &lt; 0.0001.</w:t>
      </w:r>
    </w:p>
    <w:p w14:paraId="4B31FC01" w14:textId="56E78314" w:rsidR="005B58D9" w:rsidRPr="0097635C" w:rsidRDefault="005B58D9" w:rsidP="00A676E8">
      <w:pPr>
        <w:spacing w:line="480" w:lineRule="auto"/>
        <w:rPr>
          <w:rFonts w:ascii="Times New Roman" w:hAnsi="Times New Roman" w:cs="Times New Roman"/>
          <w:sz w:val="22"/>
          <w:szCs w:val="22"/>
        </w:rPr>
      </w:pPr>
    </w:p>
    <w:p w14:paraId="467E6B58" w14:textId="77777777" w:rsidR="0097635C" w:rsidRDefault="0097635C" w:rsidP="00A676E8">
      <w:pPr>
        <w:spacing w:line="480" w:lineRule="auto"/>
        <w:rPr>
          <w:rFonts w:ascii="Times New Roman" w:hAnsi="Times New Roman" w:cs="Times New Roman"/>
          <w:b/>
          <w:bCs/>
          <w:sz w:val="22"/>
          <w:szCs w:val="22"/>
        </w:rPr>
      </w:pPr>
      <w:r>
        <w:rPr>
          <w:rFonts w:ascii="Times New Roman" w:hAnsi="Times New Roman" w:cs="Times New Roman"/>
          <w:b/>
          <w:bCs/>
          <w:sz w:val="22"/>
          <w:szCs w:val="22"/>
        </w:rPr>
        <w:br w:type="page"/>
      </w:r>
    </w:p>
    <w:p w14:paraId="77426F5F" w14:textId="093161B7" w:rsidR="007216AA" w:rsidRPr="005B58D9" w:rsidRDefault="007216AA" w:rsidP="00A676E8">
      <w:pPr>
        <w:spacing w:line="480" w:lineRule="auto"/>
        <w:rPr>
          <w:rFonts w:ascii="Times New Roman" w:hAnsi="Times New Roman" w:cs="Times New Roman"/>
          <w:b/>
          <w:bCs/>
          <w:sz w:val="22"/>
          <w:szCs w:val="22"/>
        </w:rPr>
      </w:pPr>
      <w:r w:rsidRPr="005B58D9">
        <w:rPr>
          <w:rFonts w:ascii="Times New Roman" w:hAnsi="Times New Roman" w:cs="Times New Roman"/>
          <w:b/>
          <w:bCs/>
          <w:sz w:val="22"/>
          <w:szCs w:val="22"/>
        </w:rPr>
        <w:lastRenderedPageBreak/>
        <w:t xml:space="preserve">Table </w:t>
      </w:r>
      <w:r w:rsidR="004770A9" w:rsidRPr="005B58D9">
        <w:rPr>
          <w:rFonts w:ascii="Times New Roman" w:hAnsi="Times New Roman" w:cs="Times New Roman"/>
          <w:b/>
          <w:bCs/>
          <w:sz w:val="22"/>
          <w:szCs w:val="22"/>
        </w:rPr>
        <w:t>S</w:t>
      </w:r>
      <w:r w:rsidRPr="005B58D9">
        <w:rPr>
          <w:rFonts w:ascii="Times New Roman" w:hAnsi="Times New Roman" w:cs="Times New Roman"/>
          <w:b/>
          <w:bCs/>
          <w:sz w:val="22"/>
          <w:szCs w:val="22"/>
        </w:rPr>
        <w:t>1. The primers used for qPCR experiments are listed.</w:t>
      </w:r>
    </w:p>
    <w:tbl>
      <w:tblPr>
        <w:tblW w:w="8214" w:type="dxa"/>
        <w:tblLayout w:type="fixed"/>
        <w:tblCellMar>
          <w:left w:w="0" w:type="dxa"/>
          <w:right w:w="0" w:type="dxa"/>
        </w:tblCellMar>
        <w:tblLook w:val="0420" w:firstRow="1" w:lastRow="0" w:firstColumn="0" w:lastColumn="0" w:noHBand="0" w:noVBand="1"/>
      </w:tblPr>
      <w:tblGrid>
        <w:gridCol w:w="1215"/>
        <w:gridCol w:w="3402"/>
        <w:gridCol w:w="3597"/>
      </w:tblGrid>
      <w:tr w:rsidR="007216AA" w:rsidRPr="004B0BAC" w14:paraId="6166E438" w14:textId="77777777" w:rsidTr="00D36153">
        <w:trPr>
          <w:trHeight w:val="359"/>
        </w:trPr>
        <w:tc>
          <w:tcPr>
            <w:tcW w:w="1215" w:type="dxa"/>
            <w:tcBorders>
              <w:top w:val="single" w:sz="8" w:space="0" w:color="000000"/>
              <w:left w:val="nil"/>
              <w:bottom w:val="single" w:sz="8" w:space="0" w:color="000000"/>
              <w:right w:val="nil"/>
            </w:tcBorders>
            <w:shd w:val="clear" w:color="auto" w:fill="auto"/>
            <w:tcMar>
              <w:top w:w="40" w:type="dxa"/>
              <w:left w:w="81" w:type="dxa"/>
              <w:bottom w:w="40" w:type="dxa"/>
              <w:right w:w="81" w:type="dxa"/>
            </w:tcMar>
            <w:vAlign w:val="center"/>
            <w:hideMark/>
          </w:tcPr>
          <w:p w14:paraId="4AB79662" w14:textId="77777777" w:rsidR="007216AA" w:rsidRPr="004B0BAC" w:rsidRDefault="007216AA" w:rsidP="00A676E8">
            <w:pPr>
              <w:spacing w:line="480" w:lineRule="auto"/>
              <w:rPr>
                <w:rFonts w:ascii="Times New Roman" w:hAnsi="Times New Roman" w:cs="Times New Roman"/>
                <w:sz w:val="22"/>
                <w:szCs w:val="22"/>
              </w:rPr>
            </w:pPr>
            <w:r w:rsidRPr="004B0BAC">
              <w:rPr>
                <w:rFonts w:ascii="Times New Roman" w:hAnsi="Times New Roman" w:cs="Times New Roman"/>
                <w:sz w:val="22"/>
                <w:szCs w:val="22"/>
              </w:rPr>
              <w:t>Gene</w:t>
            </w:r>
          </w:p>
        </w:tc>
        <w:tc>
          <w:tcPr>
            <w:tcW w:w="3402" w:type="dxa"/>
            <w:tcBorders>
              <w:top w:val="single" w:sz="8" w:space="0" w:color="000000"/>
              <w:left w:val="nil"/>
              <w:bottom w:val="single" w:sz="8" w:space="0" w:color="000000"/>
              <w:right w:val="nil"/>
            </w:tcBorders>
            <w:shd w:val="clear" w:color="auto" w:fill="auto"/>
            <w:tcMar>
              <w:top w:w="40" w:type="dxa"/>
              <w:left w:w="81" w:type="dxa"/>
              <w:bottom w:w="40" w:type="dxa"/>
              <w:right w:w="81" w:type="dxa"/>
            </w:tcMar>
            <w:vAlign w:val="center"/>
            <w:hideMark/>
          </w:tcPr>
          <w:p w14:paraId="001105A6" w14:textId="77777777" w:rsidR="007216AA" w:rsidRPr="004B0BAC" w:rsidRDefault="007216AA" w:rsidP="00A676E8">
            <w:pPr>
              <w:spacing w:line="480" w:lineRule="auto"/>
              <w:ind w:firstLineChars="200" w:firstLine="440"/>
              <w:rPr>
                <w:rFonts w:ascii="Times New Roman" w:hAnsi="Times New Roman" w:cs="Times New Roman"/>
                <w:sz w:val="22"/>
                <w:szCs w:val="22"/>
              </w:rPr>
            </w:pPr>
            <w:r w:rsidRPr="004B0BAC">
              <w:rPr>
                <w:rFonts w:ascii="Times New Roman" w:hAnsi="Times New Roman" w:cs="Times New Roman"/>
                <w:sz w:val="22"/>
                <w:szCs w:val="22"/>
              </w:rPr>
              <w:t>Forward Sequence</w:t>
            </w:r>
          </w:p>
        </w:tc>
        <w:tc>
          <w:tcPr>
            <w:tcW w:w="3597" w:type="dxa"/>
            <w:tcBorders>
              <w:top w:val="single" w:sz="8" w:space="0" w:color="000000"/>
              <w:left w:val="nil"/>
              <w:bottom w:val="single" w:sz="8" w:space="0" w:color="000000"/>
              <w:right w:val="nil"/>
            </w:tcBorders>
            <w:shd w:val="clear" w:color="auto" w:fill="auto"/>
            <w:tcMar>
              <w:top w:w="40" w:type="dxa"/>
              <w:left w:w="81" w:type="dxa"/>
              <w:bottom w:w="40" w:type="dxa"/>
              <w:right w:w="81" w:type="dxa"/>
            </w:tcMar>
            <w:vAlign w:val="center"/>
            <w:hideMark/>
          </w:tcPr>
          <w:p w14:paraId="28124ED4" w14:textId="77777777" w:rsidR="007216AA" w:rsidRPr="004B0BAC" w:rsidRDefault="007216AA" w:rsidP="00A676E8">
            <w:pPr>
              <w:spacing w:line="480" w:lineRule="auto"/>
              <w:ind w:firstLineChars="200" w:firstLine="440"/>
              <w:rPr>
                <w:rFonts w:ascii="Times New Roman" w:hAnsi="Times New Roman" w:cs="Times New Roman"/>
                <w:sz w:val="22"/>
                <w:szCs w:val="22"/>
              </w:rPr>
            </w:pPr>
            <w:r w:rsidRPr="004B0BAC">
              <w:rPr>
                <w:rFonts w:ascii="Times New Roman" w:hAnsi="Times New Roman" w:cs="Times New Roman"/>
                <w:sz w:val="22"/>
                <w:szCs w:val="22"/>
              </w:rPr>
              <w:t>Reverse Sequence</w:t>
            </w:r>
          </w:p>
        </w:tc>
      </w:tr>
      <w:tr w:rsidR="007216AA" w:rsidRPr="004B0BAC" w14:paraId="3B8C937A" w14:textId="77777777" w:rsidTr="00D36153">
        <w:trPr>
          <w:trHeight w:val="434"/>
        </w:trPr>
        <w:tc>
          <w:tcPr>
            <w:tcW w:w="1215" w:type="dxa"/>
            <w:tcBorders>
              <w:top w:val="single" w:sz="8" w:space="0" w:color="000000"/>
              <w:left w:val="nil"/>
              <w:bottom w:val="nil"/>
              <w:right w:val="nil"/>
            </w:tcBorders>
            <w:shd w:val="clear" w:color="auto" w:fill="auto"/>
            <w:tcMar>
              <w:top w:w="8" w:type="dxa"/>
              <w:left w:w="8" w:type="dxa"/>
              <w:bottom w:w="0" w:type="dxa"/>
              <w:right w:w="8" w:type="dxa"/>
            </w:tcMar>
            <w:vAlign w:val="center"/>
            <w:hideMark/>
          </w:tcPr>
          <w:p w14:paraId="434E3194"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NINJ1</w:t>
            </w:r>
          </w:p>
        </w:tc>
        <w:tc>
          <w:tcPr>
            <w:tcW w:w="3402" w:type="dxa"/>
            <w:tcBorders>
              <w:top w:val="single" w:sz="8" w:space="0" w:color="000000"/>
              <w:left w:val="nil"/>
              <w:bottom w:val="nil"/>
              <w:right w:val="nil"/>
            </w:tcBorders>
            <w:shd w:val="clear" w:color="auto" w:fill="auto"/>
            <w:tcMar>
              <w:top w:w="8" w:type="dxa"/>
              <w:left w:w="8" w:type="dxa"/>
              <w:bottom w:w="0" w:type="dxa"/>
              <w:right w:w="8" w:type="dxa"/>
            </w:tcMar>
            <w:vAlign w:val="center"/>
            <w:hideMark/>
          </w:tcPr>
          <w:p w14:paraId="29D0D08F"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 xml:space="preserve">TCTCCATCTCCCTTGTGCTGCA </w:t>
            </w:r>
          </w:p>
        </w:tc>
        <w:tc>
          <w:tcPr>
            <w:tcW w:w="3597" w:type="dxa"/>
            <w:tcBorders>
              <w:top w:val="single" w:sz="8" w:space="0" w:color="000000"/>
              <w:left w:val="nil"/>
              <w:bottom w:val="nil"/>
              <w:right w:val="nil"/>
            </w:tcBorders>
            <w:shd w:val="clear" w:color="auto" w:fill="auto"/>
            <w:tcMar>
              <w:top w:w="8" w:type="dxa"/>
              <w:left w:w="8" w:type="dxa"/>
              <w:bottom w:w="0" w:type="dxa"/>
              <w:right w:w="8" w:type="dxa"/>
            </w:tcMar>
            <w:vAlign w:val="center"/>
            <w:hideMark/>
          </w:tcPr>
          <w:p w14:paraId="4ADDD6F7"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CTACCACGATGATGAACACCAGG </w:t>
            </w:r>
          </w:p>
        </w:tc>
      </w:tr>
      <w:tr w:rsidR="007216AA" w:rsidRPr="004B0BAC" w14:paraId="701C330A"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1B028FAE"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lang w:val="el-GR"/>
              </w:rPr>
              <w:t>β-</w:t>
            </w:r>
            <w:r w:rsidRPr="00D36153">
              <w:rPr>
                <w:rFonts w:ascii="Times New Roman" w:hAnsi="Times New Roman" w:cs="Times New Roman"/>
                <w:sz w:val="20"/>
                <w:szCs w:val="20"/>
              </w:rPr>
              <w:t>actin</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4C4ED051"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CACCATTGGCAATGAGCGGTTC</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069A7F8F"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AGGTCTTTGCGGATGTCCACGT </w:t>
            </w:r>
          </w:p>
        </w:tc>
      </w:tr>
      <w:tr w:rsidR="007216AA" w:rsidRPr="004B0BAC" w14:paraId="014CD915"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04DEF947"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WNT5A</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790DC8D2"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TACGAGAGTGCTCGCATCCTCA</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20DE0AB1"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TGTCTTCAGGCTACATGAGCCG</w:t>
            </w:r>
          </w:p>
        </w:tc>
      </w:tr>
      <w:tr w:rsidR="007216AA" w:rsidRPr="004B0BAC" w14:paraId="33FA502B"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tcPr>
          <w:p w14:paraId="7C30B79E"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WNT5A-AS1</w:t>
            </w:r>
          </w:p>
        </w:tc>
        <w:tc>
          <w:tcPr>
            <w:tcW w:w="3402" w:type="dxa"/>
            <w:tcBorders>
              <w:top w:val="nil"/>
              <w:left w:val="nil"/>
              <w:bottom w:val="nil"/>
              <w:right w:val="nil"/>
            </w:tcBorders>
            <w:shd w:val="clear" w:color="auto" w:fill="auto"/>
            <w:tcMar>
              <w:top w:w="8" w:type="dxa"/>
              <w:left w:w="8" w:type="dxa"/>
              <w:bottom w:w="0" w:type="dxa"/>
              <w:right w:w="8" w:type="dxa"/>
            </w:tcMar>
            <w:vAlign w:val="center"/>
          </w:tcPr>
          <w:p w14:paraId="7401230E"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CAGTGTGGAAGAGTGCTGTGA</w:t>
            </w:r>
          </w:p>
        </w:tc>
        <w:tc>
          <w:tcPr>
            <w:tcW w:w="3597" w:type="dxa"/>
            <w:tcBorders>
              <w:top w:val="nil"/>
              <w:left w:val="nil"/>
              <w:bottom w:val="nil"/>
              <w:right w:val="nil"/>
            </w:tcBorders>
            <w:shd w:val="clear" w:color="auto" w:fill="auto"/>
            <w:tcMar>
              <w:top w:w="8" w:type="dxa"/>
              <w:left w:w="8" w:type="dxa"/>
              <w:bottom w:w="0" w:type="dxa"/>
              <w:right w:w="8" w:type="dxa"/>
            </w:tcMar>
            <w:vAlign w:val="center"/>
          </w:tcPr>
          <w:p w14:paraId="6AAAC2A6"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TGCCTCTCTTCTGTTGTGGTG</w:t>
            </w:r>
          </w:p>
        </w:tc>
      </w:tr>
      <w:tr w:rsidR="007216AA" w:rsidRPr="004B0BAC" w14:paraId="78AE67E8"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24E250BF"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PI3K</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19408209"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CGCCTCTTCTTATCAAGCTCGTG</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5AC95428"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GAAGCTGTCGTAATTCTGCCAGG</w:t>
            </w:r>
          </w:p>
        </w:tc>
      </w:tr>
      <w:tr w:rsidR="007216AA" w:rsidRPr="004B0BAC" w14:paraId="6DF98014"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55D52644"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AKT1</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6D29E9A0"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TGGACTACCTGCACTCGGAGAA</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7BF480AE"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GTGCCGCAAAAGGTCTTCATGG</w:t>
            </w:r>
          </w:p>
        </w:tc>
      </w:tr>
      <w:tr w:rsidR="007216AA" w:rsidRPr="004B0BAC" w14:paraId="291EFB22"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17B37CA0"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AKT2</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5BC0B541"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CATCCTCATGGAAGAGATCCGC</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0AF6621F"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GAGGAAGAACCTGTGCTCCATG</w:t>
            </w:r>
          </w:p>
        </w:tc>
      </w:tr>
      <w:tr w:rsidR="007216AA" w:rsidRPr="004B0BAC" w14:paraId="7AC0BF53"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2494FFD9"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CD44</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03280007"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CCAGAAGGAACAGTGGTTTGGC</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3095B801"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ACTGTCCTCTGGGCTTGGTGTT</w:t>
            </w:r>
          </w:p>
        </w:tc>
      </w:tr>
      <w:tr w:rsidR="007216AA" w:rsidRPr="004B0BAC" w14:paraId="397506C9"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4F78D680"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TRIP11</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69C9D65F"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GCCACTCAATGAAGGAGAAGGC</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7F31ED99"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GAAACACAACTGTCTTCTCCTGC </w:t>
            </w:r>
          </w:p>
        </w:tc>
      </w:tr>
      <w:tr w:rsidR="007216AA" w:rsidRPr="004B0BAC" w14:paraId="37860800"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59921EC4"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KRT19</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55B3258F"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AGCTAGAGGTGAAGATCCGCGA</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54B4CF6A"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GCAGGACAATCCTGGAGTTCTC </w:t>
            </w:r>
          </w:p>
        </w:tc>
      </w:tr>
      <w:tr w:rsidR="007216AA" w:rsidRPr="004B0BAC" w14:paraId="4C4E4DC2"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2BEDB075"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CEACAM6</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589744C8"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 xml:space="preserve">GCCTCAATAGGACCACAGTCAC </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3E36830D"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AGGGCTGCTATATCAGAGCGAC </w:t>
            </w:r>
          </w:p>
        </w:tc>
      </w:tr>
      <w:tr w:rsidR="007216AA" w:rsidRPr="004B0BAC" w14:paraId="278DB6E2"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7309E29E"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FGB</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5D47AAC0"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 xml:space="preserve">CAACGGCATGTTCTTCAGCACG </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216E8269"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GTATCTGCCGTTTGGATTGGCTG</w:t>
            </w:r>
          </w:p>
        </w:tc>
      </w:tr>
      <w:tr w:rsidR="007216AA" w:rsidRPr="004B0BAC" w14:paraId="6ACFC1D2"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02ADD38C"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MAP3K1</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6199545C"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CCAGACCAGTATCTCAGGAGATG</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52463799"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CCGCTAAACTGTGGCAAGGAGT</w:t>
            </w:r>
          </w:p>
        </w:tc>
      </w:tr>
      <w:tr w:rsidR="007216AA" w:rsidRPr="004B0BAC" w14:paraId="59A4C1EB"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3F4B7BF1"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PELI1</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4DDEA08B"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 xml:space="preserve">AACCAGATCGGCTCAGCAGAGA </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70C1E616"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ATGCTTCACGGTAGGAGTGTGG</w:t>
            </w:r>
          </w:p>
        </w:tc>
      </w:tr>
      <w:tr w:rsidR="007216AA" w:rsidRPr="004B0BAC" w14:paraId="52B04C2A"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20B02BD1"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TNFAIP3</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218DA36E"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 xml:space="preserve">CTCAACTGGTGTCGAGAAGTCC </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51C376C5"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TTCCTTGAGCGTGCTGAACAGC </w:t>
            </w:r>
          </w:p>
        </w:tc>
      </w:tr>
      <w:tr w:rsidR="007216AA" w:rsidRPr="004B0BAC" w14:paraId="45B1044C"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5066D6FA"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TP63</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145207FE"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CAGGAAGACAGAGTGTGCTGGT</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2A096694"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AATTGGACGGCGGTTCATCCCT</w:t>
            </w:r>
          </w:p>
        </w:tc>
      </w:tr>
      <w:tr w:rsidR="007216AA" w:rsidRPr="004B0BAC" w14:paraId="5355F914"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32FEAADB"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IL1B</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6EED65D4"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CCACAGACCTTCCAGGAGAATG</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246860CA"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GTGCAGTTCAGTGATCGTACAGG </w:t>
            </w:r>
          </w:p>
        </w:tc>
      </w:tr>
      <w:tr w:rsidR="007216AA" w:rsidRPr="004B0BAC" w14:paraId="7F549EF9"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244149FC"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IL1A</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77C01A97"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TGTATGTGACTGCCCAAGATGAAG</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1FC90F17"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AGAGGAGGTTGGTCTCACTACC</w:t>
            </w:r>
          </w:p>
        </w:tc>
      </w:tr>
      <w:tr w:rsidR="007216AA" w:rsidRPr="004B0BAC" w14:paraId="3A8AA3B9"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6C63AA72"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N-Cadherin</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468EB825"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 xml:space="preserve">CCTCCAGAGTTTACTGCCATGAC </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6C3B5076"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GTAGGATCTCCGCCACTGATTC </w:t>
            </w:r>
          </w:p>
        </w:tc>
      </w:tr>
      <w:tr w:rsidR="007216AA" w:rsidRPr="004B0BAC" w14:paraId="666778B5"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73B7B669"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lastRenderedPageBreak/>
              <w:t>E-Cadherin</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69DDE1EA"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 xml:space="preserve">GCCTCCTGAAAAGAGAGTGGAAG </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0030ACF2"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TGGCAGTGTCTCTCCAAATCCG </w:t>
            </w:r>
          </w:p>
        </w:tc>
      </w:tr>
      <w:tr w:rsidR="007216AA" w:rsidRPr="004B0BAC" w14:paraId="6421E58B"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2A8EABD2"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Vimentin</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3E626703"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AGGCAAAGCAGGAGTCCACTGA</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6016C21E"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ATCTGGCGTTCCAGGGACTCAT</w:t>
            </w:r>
          </w:p>
        </w:tc>
      </w:tr>
      <w:tr w:rsidR="007216AA" w:rsidRPr="004B0BAC" w14:paraId="698E8FB0" w14:textId="77777777" w:rsidTr="00D36153">
        <w:trPr>
          <w:trHeight w:val="434"/>
        </w:trPr>
        <w:tc>
          <w:tcPr>
            <w:tcW w:w="1215" w:type="dxa"/>
            <w:tcBorders>
              <w:top w:val="nil"/>
              <w:left w:val="nil"/>
              <w:bottom w:val="nil"/>
              <w:right w:val="nil"/>
            </w:tcBorders>
            <w:shd w:val="clear" w:color="auto" w:fill="auto"/>
            <w:tcMar>
              <w:top w:w="8" w:type="dxa"/>
              <w:left w:w="8" w:type="dxa"/>
              <w:bottom w:w="0" w:type="dxa"/>
              <w:right w:w="8" w:type="dxa"/>
            </w:tcMar>
            <w:vAlign w:val="center"/>
            <w:hideMark/>
          </w:tcPr>
          <w:p w14:paraId="036FEDE0"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Cyclin D1</w:t>
            </w:r>
          </w:p>
        </w:tc>
        <w:tc>
          <w:tcPr>
            <w:tcW w:w="3402" w:type="dxa"/>
            <w:tcBorders>
              <w:top w:val="nil"/>
              <w:left w:val="nil"/>
              <w:bottom w:val="nil"/>
              <w:right w:val="nil"/>
            </w:tcBorders>
            <w:shd w:val="clear" w:color="auto" w:fill="auto"/>
            <w:tcMar>
              <w:top w:w="8" w:type="dxa"/>
              <w:left w:w="8" w:type="dxa"/>
              <w:bottom w:w="0" w:type="dxa"/>
              <w:right w:w="8" w:type="dxa"/>
            </w:tcMar>
            <w:vAlign w:val="center"/>
            <w:hideMark/>
          </w:tcPr>
          <w:p w14:paraId="78055ED2"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 xml:space="preserve">TCTACACCGACAACTCCATCCG </w:t>
            </w:r>
          </w:p>
        </w:tc>
        <w:tc>
          <w:tcPr>
            <w:tcW w:w="3597" w:type="dxa"/>
            <w:tcBorders>
              <w:top w:val="nil"/>
              <w:left w:val="nil"/>
              <w:bottom w:val="nil"/>
              <w:right w:val="nil"/>
            </w:tcBorders>
            <w:shd w:val="clear" w:color="auto" w:fill="auto"/>
            <w:tcMar>
              <w:top w:w="8" w:type="dxa"/>
              <w:left w:w="8" w:type="dxa"/>
              <w:bottom w:w="0" w:type="dxa"/>
              <w:right w:w="8" w:type="dxa"/>
            </w:tcMar>
            <w:vAlign w:val="center"/>
            <w:hideMark/>
          </w:tcPr>
          <w:p w14:paraId="0113A431"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TCTGGCATTTTGGAGAGGAAGTG </w:t>
            </w:r>
          </w:p>
        </w:tc>
      </w:tr>
      <w:tr w:rsidR="007216AA" w:rsidRPr="004B0BAC" w14:paraId="69A0352E" w14:textId="77777777" w:rsidTr="00D36153">
        <w:trPr>
          <w:trHeight w:val="434"/>
        </w:trPr>
        <w:tc>
          <w:tcPr>
            <w:tcW w:w="1215"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14:paraId="1D2B535E"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Cyclin B1</w:t>
            </w:r>
          </w:p>
        </w:tc>
        <w:tc>
          <w:tcPr>
            <w:tcW w:w="3402"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14:paraId="222A08D4" w14:textId="77777777" w:rsidR="007216AA" w:rsidRPr="00D36153" w:rsidRDefault="007216AA" w:rsidP="00A676E8">
            <w:pPr>
              <w:spacing w:line="480" w:lineRule="auto"/>
              <w:rPr>
                <w:rFonts w:ascii="Times New Roman" w:hAnsi="Times New Roman" w:cs="Times New Roman"/>
                <w:sz w:val="20"/>
                <w:szCs w:val="20"/>
              </w:rPr>
            </w:pPr>
            <w:r w:rsidRPr="00D36153">
              <w:rPr>
                <w:rFonts w:ascii="Times New Roman" w:hAnsi="Times New Roman" w:cs="Times New Roman"/>
                <w:sz w:val="20"/>
                <w:szCs w:val="20"/>
              </w:rPr>
              <w:t>GACCTGTGTCAGGCTTTCTCTG</w:t>
            </w:r>
          </w:p>
        </w:tc>
        <w:tc>
          <w:tcPr>
            <w:tcW w:w="3597" w:type="dxa"/>
            <w:tcBorders>
              <w:top w:val="nil"/>
              <w:left w:val="nil"/>
              <w:bottom w:val="single" w:sz="8" w:space="0" w:color="000000"/>
              <w:right w:val="nil"/>
            </w:tcBorders>
            <w:shd w:val="clear" w:color="auto" w:fill="auto"/>
            <w:tcMar>
              <w:top w:w="8" w:type="dxa"/>
              <w:left w:w="8" w:type="dxa"/>
              <w:bottom w:w="0" w:type="dxa"/>
              <w:right w:w="8" w:type="dxa"/>
            </w:tcMar>
            <w:vAlign w:val="center"/>
            <w:hideMark/>
          </w:tcPr>
          <w:p w14:paraId="41A17206" w14:textId="77777777" w:rsidR="007216AA" w:rsidRPr="00D36153" w:rsidRDefault="007216AA" w:rsidP="00A676E8">
            <w:pPr>
              <w:spacing w:line="480" w:lineRule="auto"/>
              <w:ind w:firstLineChars="200" w:firstLine="400"/>
              <w:rPr>
                <w:rFonts w:ascii="Times New Roman" w:hAnsi="Times New Roman" w:cs="Times New Roman"/>
                <w:sz w:val="20"/>
                <w:szCs w:val="20"/>
              </w:rPr>
            </w:pPr>
            <w:r w:rsidRPr="00D36153">
              <w:rPr>
                <w:rFonts w:ascii="Times New Roman" w:hAnsi="Times New Roman" w:cs="Times New Roman"/>
                <w:sz w:val="20"/>
                <w:szCs w:val="20"/>
              </w:rPr>
              <w:t xml:space="preserve">GGTATTTTGGTCTGACTGCTTGC </w:t>
            </w:r>
          </w:p>
        </w:tc>
      </w:tr>
    </w:tbl>
    <w:p w14:paraId="0C38B9F4" w14:textId="77777777" w:rsidR="007216AA" w:rsidRPr="000C770E" w:rsidRDefault="007216AA" w:rsidP="00A676E8">
      <w:pPr>
        <w:spacing w:line="480" w:lineRule="auto"/>
        <w:outlineLvl w:val="0"/>
        <w:rPr>
          <w:rFonts w:ascii="Times New Roman" w:hAnsi="Times New Roman" w:cs="Times New Roman"/>
          <w:sz w:val="22"/>
          <w:szCs w:val="22"/>
        </w:rPr>
      </w:pPr>
    </w:p>
    <w:sectPr w:rsidR="007216AA" w:rsidRPr="000C770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35B57"/>
    <w:multiLevelType w:val="multilevel"/>
    <w:tmpl w:val="B65C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6303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E16"/>
    <w:rsid w:val="000329A0"/>
    <w:rsid w:val="00083965"/>
    <w:rsid w:val="000938AD"/>
    <w:rsid w:val="000A49B5"/>
    <w:rsid w:val="000B1C44"/>
    <w:rsid w:val="000B5A1C"/>
    <w:rsid w:val="000C770E"/>
    <w:rsid w:val="000F1510"/>
    <w:rsid w:val="0011413D"/>
    <w:rsid w:val="00115E0F"/>
    <w:rsid w:val="00116781"/>
    <w:rsid w:val="001471F8"/>
    <w:rsid w:val="00173BAA"/>
    <w:rsid w:val="001966AE"/>
    <w:rsid w:val="001A0D6B"/>
    <w:rsid w:val="001A2837"/>
    <w:rsid w:val="001C0048"/>
    <w:rsid w:val="001C332A"/>
    <w:rsid w:val="001C42B6"/>
    <w:rsid w:val="001D020B"/>
    <w:rsid w:val="001E0732"/>
    <w:rsid w:val="001F52FB"/>
    <w:rsid w:val="0020183B"/>
    <w:rsid w:val="002138C2"/>
    <w:rsid w:val="002A33B1"/>
    <w:rsid w:val="002B6444"/>
    <w:rsid w:val="002D0935"/>
    <w:rsid w:val="0032292D"/>
    <w:rsid w:val="00325311"/>
    <w:rsid w:val="00390596"/>
    <w:rsid w:val="00397480"/>
    <w:rsid w:val="003B10E7"/>
    <w:rsid w:val="003B731B"/>
    <w:rsid w:val="003C09F9"/>
    <w:rsid w:val="003C388C"/>
    <w:rsid w:val="004412DB"/>
    <w:rsid w:val="00443371"/>
    <w:rsid w:val="00457F72"/>
    <w:rsid w:val="00476858"/>
    <w:rsid w:val="004770A9"/>
    <w:rsid w:val="00495A22"/>
    <w:rsid w:val="004C3BDA"/>
    <w:rsid w:val="004C516C"/>
    <w:rsid w:val="004D1672"/>
    <w:rsid w:val="004D4213"/>
    <w:rsid w:val="004F368A"/>
    <w:rsid w:val="004F511E"/>
    <w:rsid w:val="005212BB"/>
    <w:rsid w:val="0053483C"/>
    <w:rsid w:val="005549C3"/>
    <w:rsid w:val="00562176"/>
    <w:rsid w:val="0057424B"/>
    <w:rsid w:val="00595559"/>
    <w:rsid w:val="005A3D7D"/>
    <w:rsid w:val="005B1D93"/>
    <w:rsid w:val="005B58D9"/>
    <w:rsid w:val="005F3A26"/>
    <w:rsid w:val="00603D8D"/>
    <w:rsid w:val="00605A79"/>
    <w:rsid w:val="0064268A"/>
    <w:rsid w:val="00663DA5"/>
    <w:rsid w:val="006671CA"/>
    <w:rsid w:val="006964A6"/>
    <w:rsid w:val="006E4996"/>
    <w:rsid w:val="006F78B3"/>
    <w:rsid w:val="00700EED"/>
    <w:rsid w:val="00704215"/>
    <w:rsid w:val="007062DC"/>
    <w:rsid w:val="007070AF"/>
    <w:rsid w:val="00707289"/>
    <w:rsid w:val="007216AA"/>
    <w:rsid w:val="00731D4F"/>
    <w:rsid w:val="00751E93"/>
    <w:rsid w:val="00781055"/>
    <w:rsid w:val="00791E32"/>
    <w:rsid w:val="007B0D1C"/>
    <w:rsid w:val="007B353E"/>
    <w:rsid w:val="007D16B9"/>
    <w:rsid w:val="00841F02"/>
    <w:rsid w:val="008468E8"/>
    <w:rsid w:val="008471FF"/>
    <w:rsid w:val="00866545"/>
    <w:rsid w:val="00875679"/>
    <w:rsid w:val="00882581"/>
    <w:rsid w:val="0088656C"/>
    <w:rsid w:val="008924F6"/>
    <w:rsid w:val="008B6B51"/>
    <w:rsid w:val="008F5425"/>
    <w:rsid w:val="009032CA"/>
    <w:rsid w:val="00905B14"/>
    <w:rsid w:val="00910B64"/>
    <w:rsid w:val="00920221"/>
    <w:rsid w:val="0097033F"/>
    <w:rsid w:val="00974B3A"/>
    <w:rsid w:val="0097635C"/>
    <w:rsid w:val="00996405"/>
    <w:rsid w:val="009B2992"/>
    <w:rsid w:val="009C7162"/>
    <w:rsid w:val="009E5270"/>
    <w:rsid w:val="00A103F3"/>
    <w:rsid w:val="00A130A4"/>
    <w:rsid w:val="00A27970"/>
    <w:rsid w:val="00A358DD"/>
    <w:rsid w:val="00A53F9A"/>
    <w:rsid w:val="00A676E8"/>
    <w:rsid w:val="00A67D61"/>
    <w:rsid w:val="00AB16B9"/>
    <w:rsid w:val="00AB531E"/>
    <w:rsid w:val="00AC4305"/>
    <w:rsid w:val="00AD51DB"/>
    <w:rsid w:val="00AE5E37"/>
    <w:rsid w:val="00B13CF6"/>
    <w:rsid w:val="00B209DC"/>
    <w:rsid w:val="00B213A4"/>
    <w:rsid w:val="00B258B7"/>
    <w:rsid w:val="00B36BD8"/>
    <w:rsid w:val="00B579B4"/>
    <w:rsid w:val="00B823D1"/>
    <w:rsid w:val="00BA2521"/>
    <w:rsid w:val="00BB0ECD"/>
    <w:rsid w:val="00BE2033"/>
    <w:rsid w:val="00C315C4"/>
    <w:rsid w:val="00C351F3"/>
    <w:rsid w:val="00C43554"/>
    <w:rsid w:val="00C519B1"/>
    <w:rsid w:val="00C56C8F"/>
    <w:rsid w:val="00C90E16"/>
    <w:rsid w:val="00C92EFF"/>
    <w:rsid w:val="00C979D4"/>
    <w:rsid w:val="00CB6512"/>
    <w:rsid w:val="00CD2AE7"/>
    <w:rsid w:val="00D0570F"/>
    <w:rsid w:val="00D078DA"/>
    <w:rsid w:val="00D23A94"/>
    <w:rsid w:val="00D3730A"/>
    <w:rsid w:val="00D87DFE"/>
    <w:rsid w:val="00DB51A4"/>
    <w:rsid w:val="00DC24EF"/>
    <w:rsid w:val="00DC374D"/>
    <w:rsid w:val="00DE1ECC"/>
    <w:rsid w:val="00E07B67"/>
    <w:rsid w:val="00E43F7A"/>
    <w:rsid w:val="00E45CAD"/>
    <w:rsid w:val="00E535BE"/>
    <w:rsid w:val="00E545FD"/>
    <w:rsid w:val="00E90DBA"/>
    <w:rsid w:val="00E9417C"/>
    <w:rsid w:val="00E97266"/>
    <w:rsid w:val="00EB2ABF"/>
    <w:rsid w:val="00EB6E03"/>
    <w:rsid w:val="00EC4CC5"/>
    <w:rsid w:val="00EC69A3"/>
    <w:rsid w:val="00EE1E1C"/>
    <w:rsid w:val="00EE3381"/>
    <w:rsid w:val="00EE49BA"/>
    <w:rsid w:val="00F016E2"/>
    <w:rsid w:val="00F1505C"/>
    <w:rsid w:val="00F25BB7"/>
    <w:rsid w:val="00F5701E"/>
    <w:rsid w:val="00F81F8B"/>
    <w:rsid w:val="00FB501A"/>
    <w:rsid w:val="00FD3F8B"/>
    <w:rsid w:val="00FF2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14A2172"/>
  <w15:chartTrackingRefBased/>
  <w15:docId w15:val="{72BE7FE2-75B9-0742-B5E7-647F410F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14:ligatures w14:val="standardContextual"/>
      </w:rPr>
    </w:rPrDefault>
    <w:pPrDefault>
      <w:pPr>
        <w:spacing w:line="40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90E1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90E1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90E1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90E1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90E16"/>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C90E16"/>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90E1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90E1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90E1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90E1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90E1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90E1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90E16"/>
    <w:rPr>
      <w:rFonts w:cstheme="majorBidi"/>
      <w:color w:val="0F4761" w:themeColor="accent1" w:themeShade="BF"/>
      <w:sz w:val="28"/>
      <w:szCs w:val="28"/>
    </w:rPr>
  </w:style>
  <w:style w:type="character" w:customStyle="1" w:styleId="50">
    <w:name w:val="标题 5 字符"/>
    <w:basedOn w:val="a0"/>
    <w:link w:val="5"/>
    <w:uiPriority w:val="9"/>
    <w:semiHidden/>
    <w:rsid w:val="00C90E16"/>
    <w:rPr>
      <w:rFonts w:cstheme="majorBidi"/>
      <w:color w:val="0F4761" w:themeColor="accent1" w:themeShade="BF"/>
      <w:sz w:val="24"/>
    </w:rPr>
  </w:style>
  <w:style w:type="character" w:customStyle="1" w:styleId="60">
    <w:name w:val="标题 6 字符"/>
    <w:basedOn w:val="a0"/>
    <w:link w:val="6"/>
    <w:uiPriority w:val="9"/>
    <w:semiHidden/>
    <w:rsid w:val="00C90E16"/>
    <w:rPr>
      <w:rFonts w:cstheme="majorBidi"/>
      <w:b/>
      <w:bCs/>
      <w:color w:val="0F4761" w:themeColor="accent1" w:themeShade="BF"/>
    </w:rPr>
  </w:style>
  <w:style w:type="character" w:customStyle="1" w:styleId="70">
    <w:name w:val="标题 7 字符"/>
    <w:basedOn w:val="a0"/>
    <w:link w:val="7"/>
    <w:uiPriority w:val="9"/>
    <w:semiHidden/>
    <w:rsid w:val="00C90E16"/>
    <w:rPr>
      <w:rFonts w:cstheme="majorBidi"/>
      <w:b/>
      <w:bCs/>
      <w:color w:val="595959" w:themeColor="text1" w:themeTint="A6"/>
    </w:rPr>
  </w:style>
  <w:style w:type="character" w:customStyle="1" w:styleId="80">
    <w:name w:val="标题 8 字符"/>
    <w:basedOn w:val="a0"/>
    <w:link w:val="8"/>
    <w:uiPriority w:val="9"/>
    <w:semiHidden/>
    <w:rsid w:val="00C90E16"/>
    <w:rPr>
      <w:rFonts w:cstheme="majorBidi"/>
      <w:color w:val="595959" w:themeColor="text1" w:themeTint="A6"/>
    </w:rPr>
  </w:style>
  <w:style w:type="character" w:customStyle="1" w:styleId="90">
    <w:name w:val="标题 9 字符"/>
    <w:basedOn w:val="a0"/>
    <w:link w:val="9"/>
    <w:uiPriority w:val="9"/>
    <w:semiHidden/>
    <w:rsid w:val="00C90E16"/>
    <w:rPr>
      <w:rFonts w:eastAsiaTheme="majorEastAsia" w:cstheme="majorBidi"/>
      <w:color w:val="595959" w:themeColor="text1" w:themeTint="A6"/>
    </w:rPr>
  </w:style>
  <w:style w:type="paragraph" w:styleId="a3">
    <w:name w:val="Title"/>
    <w:basedOn w:val="a"/>
    <w:next w:val="a"/>
    <w:link w:val="a4"/>
    <w:uiPriority w:val="10"/>
    <w:qFormat/>
    <w:rsid w:val="00C90E16"/>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90E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90E1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90E1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90E16"/>
    <w:pPr>
      <w:spacing w:before="160" w:after="160"/>
      <w:jc w:val="center"/>
    </w:pPr>
    <w:rPr>
      <w:i/>
      <w:iCs/>
      <w:color w:val="404040" w:themeColor="text1" w:themeTint="BF"/>
    </w:rPr>
  </w:style>
  <w:style w:type="character" w:customStyle="1" w:styleId="a8">
    <w:name w:val="引用 字符"/>
    <w:basedOn w:val="a0"/>
    <w:link w:val="a7"/>
    <w:uiPriority w:val="29"/>
    <w:rsid w:val="00C90E16"/>
    <w:rPr>
      <w:i/>
      <w:iCs/>
      <w:color w:val="404040" w:themeColor="text1" w:themeTint="BF"/>
    </w:rPr>
  </w:style>
  <w:style w:type="paragraph" w:styleId="a9">
    <w:name w:val="List Paragraph"/>
    <w:basedOn w:val="a"/>
    <w:uiPriority w:val="34"/>
    <w:qFormat/>
    <w:rsid w:val="00C90E16"/>
    <w:pPr>
      <w:ind w:left="720"/>
      <w:contextualSpacing/>
    </w:pPr>
  </w:style>
  <w:style w:type="character" w:styleId="aa">
    <w:name w:val="Intense Emphasis"/>
    <w:basedOn w:val="a0"/>
    <w:uiPriority w:val="21"/>
    <w:qFormat/>
    <w:rsid w:val="00C90E16"/>
    <w:rPr>
      <w:i/>
      <w:iCs/>
      <w:color w:val="0F4761" w:themeColor="accent1" w:themeShade="BF"/>
    </w:rPr>
  </w:style>
  <w:style w:type="paragraph" w:styleId="ab">
    <w:name w:val="Intense Quote"/>
    <w:basedOn w:val="a"/>
    <w:next w:val="a"/>
    <w:link w:val="ac"/>
    <w:uiPriority w:val="30"/>
    <w:qFormat/>
    <w:rsid w:val="00C90E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90E16"/>
    <w:rPr>
      <w:i/>
      <w:iCs/>
      <w:color w:val="0F4761" w:themeColor="accent1" w:themeShade="BF"/>
    </w:rPr>
  </w:style>
  <w:style w:type="character" w:styleId="ad">
    <w:name w:val="Intense Reference"/>
    <w:basedOn w:val="a0"/>
    <w:uiPriority w:val="32"/>
    <w:qFormat/>
    <w:rsid w:val="00C90E16"/>
    <w:rPr>
      <w:b/>
      <w:bCs/>
      <w:smallCaps/>
      <w:color w:val="0F4761" w:themeColor="accent1" w:themeShade="BF"/>
      <w:spacing w:val="5"/>
    </w:rPr>
  </w:style>
  <w:style w:type="paragraph" w:styleId="ae">
    <w:name w:val="Revision"/>
    <w:hidden/>
    <w:uiPriority w:val="99"/>
    <w:semiHidden/>
    <w:rsid w:val="000A49B5"/>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4350">
      <w:bodyDiv w:val="1"/>
      <w:marLeft w:val="0"/>
      <w:marRight w:val="0"/>
      <w:marTop w:val="0"/>
      <w:marBottom w:val="0"/>
      <w:divBdr>
        <w:top w:val="none" w:sz="0" w:space="0" w:color="auto"/>
        <w:left w:val="none" w:sz="0" w:space="0" w:color="auto"/>
        <w:bottom w:val="none" w:sz="0" w:space="0" w:color="auto"/>
        <w:right w:val="none" w:sz="0" w:space="0" w:color="auto"/>
      </w:divBdr>
    </w:div>
    <w:div w:id="330566844">
      <w:bodyDiv w:val="1"/>
      <w:marLeft w:val="0"/>
      <w:marRight w:val="0"/>
      <w:marTop w:val="0"/>
      <w:marBottom w:val="0"/>
      <w:divBdr>
        <w:top w:val="none" w:sz="0" w:space="0" w:color="auto"/>
        <w:left w:val="none" w:sz="0" w:space="0" w:color="auto"/>
        <w:bottom w:val="none" w:sz="0" w:space="0" w:color="auto"/>
        <w:right w:val="none" w:sz="0" w:space="0" w:color="auto"/>
      </w:divBdr>
    </w:div>
    <w:div w:id="530652000">
      <w:bodyDiv w:val="1"/>
      <w:marLeft w:val="0"/>
      <w:marRight w:val="0"/>
      <w:marTop w:val="0"/>
      <w:marBottom w:val="0"/>
      <w:divBdr>
        <w:top w:val="none" w:sz="0" w:space="0" w:color="auto"/>
        <w:left w:val="none" w:sz="0" w:space="0" w:color="auto"/>
        <w:bottom w:val="none" w:sz="0" w:space="0" w:color="auto"/>
        <w:right w:val="none" w:sz="0" w:space="0" w:color="auto"/>
      </w:divBdr>
    </w:div>
    <w:div w:id="542712947">
      <w:bodyDiv w:val="1"/>
      <w:marLeft w:val="0"/>
      <w:marRight w:val="0"/>
      <w:marTop w:val="0"/>
      <w:marBottom w:val="0"/>
      <w:divBdr>
        <w:top w:val="none" w:sz="0" w:space="0" w:color="auto"/>
        <w:left w:val="none" w:sz="0" w:space="0" w:color="auto"/>
        <w:bottom w:val="none" w:sz="0" w:space="0" w:color="auto"/>
        <w:right w:val="none" w:sz="0" w:space="0" w:color="auto"/>
      </w:divBdr>
    </w:div>
    <w:div w:id="955020774">
      <w:bodyDiv w:val="1"/>
      <w:marLeft w:val="0"/>
      <w:marRight w:val="0"/>
      <w:marTop w:val="0"/>
      <w:marBottom w:val="0"/>
      <w:divBdr>
        <w:top w:val="none" w:sz="0" w:space="0" w:color="auto"/>
        <w:left w:val="none" w:sz="0" w:space="0" w:color="auto"/>
        <w:bottom w:val="none" w:sz="0" w:space="0" w:color="auto"/>
        <w:right w:val="none" w:sz="0" w:space="0" w:color="auto"/>
      </w:divBdr>
    </w:div>
    <w:div w:id="1280186745">
      <w:bodyDiv w:val="1"/>
      <w:marLeft w:val="0"/>
      <w:marRight w:val="0"/>
      <w:marTop w:val="0"/>
      <w:marBottom w:val="0"/>
      <w:divBdr>
        <w:top w:val="none" w:sz="0" w:space="0" w:color="auto"/>
        <w:left w:val="none" w:sz="0" w:space="0" w:color="auto"/>
        <w:bottom w:val="none" w:sz="0" w:space="0" w:color="auto"/>
        <w:right w:val="none" w:sz="0" w:space="0" w:color="auto"/>
      </w:divBdr>
    </w:div>
    <w:div w:id="1316446914">
      <w:bodyDiv w:val="1"/>
      <w:marLeft w:val="0"/>
      <w:marRight w:val="0"/>
      <w:marTop w:val="0"/>
      <w:marBottom w:val="0"/>
      <w:divBdr>
        <w:top w:val="none" w:sz="0" w:space="0" w:color="auto"/>
        <w:left w:val="none" w:sz="0" w:space="0" w:color="auto"/>
        <w:bottom w:val="none" w:sz="0" w:space="0" w:color="auto"/>
        <w:right w:val="none" w:sz="0" w:space="0" w:color="auto"/>
      </w:divBdr>
    </w:div>
    <w:div w:id="1438599659">
      <w:bodyDiv w:val="1"/>
      <w:marLeft w:val="0"/>
      <w:marRight w:val="0"/>
      <w:marTop w:val="0"/>
      <w:marBottom w:val="0"/>
      <w:divBdr>
        <w:top w:val="none" w:sz="0" w:space="0" w:color="auto"/>
        <w:left w:val="none" w:sz="0" w:space="0" w:color="auto"/>
        <w:bottom w:val="none" w:sz="0" w:space="0" w:color="auto"/>
        <w:right w:val="none" w:sz="0" w:space="0" w:color="auto"/>
      </w:divBdr>
    </w:div>
    <w:div w:id="1510758854">
      <w:bodyDiv w:val="1"/>
      <w:marLeft w:val="0"/>
      <w:marRight w:val="0"/>
      <w:marTop w:val="0"/>
      <w:marBottom w:val="0"/>
      <w:divBdr>
        <w:top w:val="none" w:sz="0" w:space="0" w:color="auto"/>
        <w:left w:val="none" w:sz="0" w:space="0" w:color="auto"/>
        <w:bottom w:val="none" w:sz="0" w:space="0" w:color="auto"/>
        <w:right w:val="none" w:sz="0" w:space="0" w:color="auto"/>
      </w:divBdr>
    </w:div>
    <w:div w:id="1524128747">
      <w:bodyDiv w:val="1"/>
      <w:marLeft w:val="0"/>
      <w:marRight w:val="0"/>
      <w:marTop w:val="0"/>
      <w:marBottom w:val="0"/>
      <w:divBdr>
        <w:top w:val="none" w:sz="0" w:space="0" w:color="auto"/>
        <w:left w:val="none" w:sz="0" w:space="0" w:color="auto"/>
        <w:bottom w:val="none" w:sz="0" w:space="0" w:color="auto"/>
        <w:right w:val="none" w:sz="0" w:space="0" w:color="auto"/>
      </w:divBdr>
    </w:div>
    <w:div w:id="1684042958">
      <w:bodyDiv w:val="1"/>
      <w:marLeft w:val="0"/>
      <w:marRight w:val="0"/>
      <w:marTop w:val="0"/>
      <w:marBottom w:val="0"/>
      <w:divBdr>
        <w:top w:val="none" w:sz="0" w:space="0" w:color="auto"/>
        <w:left w:val="none" w:sz="0" w:space="0" w:color="auto"/>
        <w:bottom w:val="none" w:sz="0" w:space="0" w:color="auto"/>
        <w:right w:val="none" w:sz="0" w:space="0" w:color="auto"/>
      </w:divBdr>
    </w:div>
    <w:div w:id="180770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XUEHE</dc:creator>
  <cp:keywords/>
  <dc:description/>
  <cp:lastModifiedBy>Jackson Li</cp:lastModifiedBy>
  <cp:revision>16</cp:revision>
  <dcterms:created xsi:type="dcterms:W3CDTF">2025-05-14T14:06:00Z</dcterms:created>
  <dcterms:modified xsi:type="dcterms:W3CDTF">2025-06-05T09:55:00Z</dcterms:modified>
</cp:coreProperties>
</file>