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970F3" w:rsidRDefault="001466AD">
      <w:r>
        <w:rPr>
          <w:sz w:val="36"/>
          <w:szCs w:val="36"/>
        </w:rPr>
        <w:t>East Amazon forest understory temperatures reached a record high in 2023-2024</w:t>
      </w:r>
    </w:p>
    <w:p w:rsidR="003970F3" w:rsidRDefault="003970F3">
      <w:pPr>
        <w:spacing w:line="360" w:lineRule="auto"/>
      </w:pPr>
    </w:p>
    <w:p w:rsidR="003970F3" w:rsidRDefault="001466AD">
      <w:pPr>
        <w:rPr>
          <w:vertAlign w:val="superscript"/>
        </w:rPr>
      </w:pPr>
      <w:r>
        <w:t>Gabriel Hes</w:t>
      </w:r>
      <w:r>
        <w:rPr>
          <w:vertAlign w:val="superscript"/>
        </w:rPr>
        <w:t>1</w:t>
      </w:r>
      <w:r>
        <w:t xml:space="preserve">, </w:t>
      </w:r>
      <w:proofErr w:type="spellStart"/>
      <w:r>
        <w:t>Vincyane</w:t>
      </w:r>
      <w:proofErr w:type="spellEnd"/>
      <w:r>
        <w:t xml:space="preserve"> Badouard</w:t>
      </w:r>
      <w:r>
        <w:rPr>
          <w:vertAlign w:val="superscript"/>
        </w:rPr>
        <w:t>2</w:t>
      </w:r>
      <w:r>
        <w:t>, Benoit Burban</w:t>
      </w:r>
      <w:r>
        <w:rPr>
          <w:vertAlign w:val="superscript"/>
        </w:rPr>
        <w:t>3</w:t>
      </w:r>
      <w:r>
        <w:t>, Jocelyn Cazal</w:t>
      </w:r>
      <w:r>
        <w:rPr>
          <w:vertAlign w:val="superscript"/>
        </w:rPr>
        <w:t>3</w:t>
      </w:r>
      <w:r>
        <w:t>, Elodie A. Courtois</w:t>
      </w:r>
      <w:r>
        <w:rPr>
          <w:vertAlign w:val="superscript"/>
        </w:rPr>
        <w:t>4</w:t>
      </w:r>
      <w:r>
        <w:t xml:space="preserve">, </w:t>
      </w:r>
      <w:proofErr w:type="spellStart"/>
      <w:r>
        <w:t>Géraldine</w:t>
      </w:r>
      <w:proofErr w:type="spellEnd"/>
      <w:r>
        <w:t xml:space="preserve"> Derroire</w:t>
      </w:r>
      <w:r>
        <w:rPr>
          <w:vertAlign w:val="superscript"/>
        </w:rPr>
        <w:t>3, 6, 7</w:t>
      </w:r>
      <w:r>
        <w:t xml:space="preserve">, </w:t>
      </w:r>
      <w:proofErr w:type="spellStart"/>
      <w:r>
        <w:t>Léa</w:t>
      </w:r>
      <w:proofErr w:type="spellEnd"/>
      <w:r>
        <w:t xml:space="preserve"> Francoise</w:t>
      </w:r>
      <w:r>
        <w:rPr>
          <w:vertAlign w:val="superscript"/>
        </w:rPr>
        <w:t>3</w:t>
      </w:r>
      <w:r>
        <w:t>, Jean-Yves Goret</w:t>
      </w:r>
      <w:r>
        <w:rPr>
          <w:vertAlign w:val="superscript"/>
        </w:rPr>
        <w:t>3</w:t>
      </w:r>
      <w:r>
        <w:t>, Ariane Mirabel</w:t>
      </w:r>
      <w:r>
        <w:rPr>
          <w:vertAlign w:val="superscript"/>
        </w:rPr>
        <w:t>3</w:t>
      </w:r>
      <w:r>
        <w:t>, Petrus Naisso</w:t>
      </w:r>
      <w:r>
        <w:rPr>
          <w:vertAlign w:val="superscript"/>
        </w:rPr>
        <w:t>3</w:t>
      </w:r>
      <w:r>
        <w:t>, Jérôme Ogée</w:t>
      </w:r>
      <w:r>
        <w:rPr>
          <w:vertAlign w:val="superscript"/>
        </w:rPr>
        <w:t>5</w:t>
      </w:r>
      <w:r>
        <w:t>, Laetitia Proux</w:t>
      </w:r>
      <w:r>
        <w:rPr>
          <w:vertAlign w:val="superscript"/>
        </w:rPr>
        <w:t>3</w:t>
      </w:r>
      <w:r>
        <w:t>, Elodie Schloesing</w:t>
      </w:r>
      <w:r>
        <w:rPr>
          <w:vertAlign w:val="superscript"/>
        </w:rPr>
        <w:t>4</w:t>
      </w:r>
      <w:r>
        <w:t>, Sylvain Schmitt</w:t>
      </w:r>
      <w:r>
        <w:rPr>
          <w:vertAlign w:val="superscript"/>
        </w:rPr>
        <w:t>6</w:t>
      </w:r>
      <w:r>
        <w:t>, Giacomo Sellan</w:t>
      </w:r>
      <w:r>
        <w:rPr>
          <w:vertAlign w:val="superscript"/>
        </w:rPr>
        <w:t>3</w:t>
      </w:r>
      <w:r>
        <w:t>, Clément Stahl</w:t>
      </w:r>
      <w:r>
        <w:rPr>
          <w:vertAlign w:val="superscript"/>
        </w:rPr>
        <w:t>3</w:t>
      </w:r>
      <w:r>
        <w:t>, Jérôme Chave</w:t>
      </w:r>
      <w:r>
        <w:rPr>
          <w:vertAlign w:val="superscript"/>
        </w:rPr>
        <w:t>1</w:t>
      </w:r>
    </w:p>
    <w:p w:rsidR="003970F3" w:rsidRDefault="003970F3">
      <w:pPr>
        <w:rPr>
          <w:vertAlign w:val="superscript"/>
        </w:rPr>
      </w:pPr>
    </w:p>
    <w:p w:rsidR="003970F3" w:rsidRDefault="003970F3"/>
    <w:p w:rsidR="003970F3" w:rsidRPr="001466AD" w:rsidRDefault="001466AD">
      <w:pPr>
        <w:rPr>
          <w:lang w:val="fr-FR"/>
        </w:rPr>
      </w:pPr>
      <w:r w:rsidRPr="001466AD">
        <w:rPr>
          <w:vertAlign w:val="superscript"/>
          <w:lang w:val="fr-FR"/>
        </w:rPr>
        <w:t>1</w:t>
      </w:r>
      <w:r w:rsidRPr="001466AD">
        <w:rPr>
          <w:lang w:val="fr-FR"/>
        </w:rPr>
        <w:t>Centre Recherche Biodiversité Environnement, CNRS, Université de Toulouse, IRD, INPT, UMR5300, Toulouse, France.</w:t>
      </w:r>
    </w:p>
    <w:p w:rsidR="003970F3" w:rsidRPr="001466AD" w:rsidRDefault="001466AD">
      <w:pPr>
        <w:rPr>
          <w:lang w:val="fr-FR"/>
        </w:rPr>
      </w:pPr>
      <w:r w:rsidRPr="001466AD">
        <w:rPr>
          <w:vertAlign w:val="superscript"/>
          <w:lang w:val="fr-FR"/>
        </w:rPr>
        <w:t>2</w:t>
      </w:r>
      <w:r w:rsidRPr="001466AD">
        <w:rPr>
          <w:lang w:val="fr-FR"/>
        </w:rPr>
        <w:t>AMAP, Université de Montpellier, ADEME, IRD, CNRS, CIRAD INRAE, Montpellier, France</w:t>
      </w:r>
    </w:p>
    <w:p w:rsidR="003970F3" w:rsidRPr="001466AD" w:rsidRDefault="001466AD">
      <w:pPr>
        <w:rPr>
          <w:lang w:val="fr-FR"/>
        </w:rPr>
      </w:pPr>
      <w:r w:rsidRPr="001466AD">
        <w:rPr>
          <w:highlight w:val="white"/>
          <w:vertAlign w:val="superscript"/>
          <w:lang w:val="fr-FR"/>
        </w:rPr>
        <w:t>3</w:t>
      </w:r>
      <w:r w:rsidRPr="001466AD">
        <w:rPr>
          <w:highlight w:val="white"/>
          <w:lang w:val="fr-FR"/>
        </w:rPr>
        <w:t xml:space="preserve">UMR </w:t>
      </w:r>
      <w:proofErr w:type="spellStart"/>
      <w:r w:rsidRPr="001466AD">
        <w:rPr>
          <w:highlight w:val="white"/>
          <w:lang w:val="fr-FR"/>
        </w:rPr>
        <w:t>EcoFoG</w:t>
      </w:r>
      <w:proofErr w:type="spellEnd"/>
      <w:r w:rsidRPr="001466AD">
        <w:rPr>
          <w:highlight w:val="white"/>
          <w:lang w:val="fr-FR"/>
        </w:rPr>
        <w:t xml:space="preserve">, CNRS, CIRAD, INRAE, </w:t>
      </w:r>
      <w:proofErr w:type="spellStart"/>
      <w:r w:rsidRPr="001466AD">
        <w:rPr>
          <w:highlight w:val="white"/>
          <w:lang w:val="fr-FR"/>
        </w:rPr>
        <w:t>AgroParisTech</w:t>
      </w:r>
      <w:proofErr w:type="spellEnd"/>
      <w:r w:rsidRPr="001466AD">
        <w:rPr>
          <w:highlight w:val="white"/>
          <w:lang w:val="fr-FR"/>
        </w:rPr>
        <w:t>, Université des Antilles, Université de Guyane, Kourou, 97310, France</w:t>
      </w:r>
    </w:p>
    <w:p w:rsidR="003970F3" w:rsidRDefault="001466AD">
      <w:r>
        <w:rPr>
          <w:vertAlign w:val="superscript"/>
        </w:rPr>
        <w:t>4</w:t>
      </w:r>
      <w:r>
        <w:t>Independent researcher ENIA (Naturalist Expertise, Instrumentation and Analysis) Matoury, 97351, French Guiana</w:t>
      </w:r>
    </w:p>
    <w:p w:rsidR="003970F3" w:rsidRPr="001466AD" w:rsidRDefault="001466AD">
      <w:pPr>
        <w:rPr>
          <w:lang w:val="fr-FR"/>
        </w:rPr>
      </w:pPr>
      <w:r w:rsidRPr="001466AD">
        <w:rPr>
          <w:vertAlign w:val="superscript"/>
          <w:lang w:val="fr-FR"/>
        </w:rPr>
        <w:t>5</w:t>
      </w:r>
      <w:r w:rsidRPr="001466AD">
        <w:rPr>
          <w:lang w:val="fr-FR"/>
        </w:rPr>
        <w:t>INRAE, Bordeaux Science Agro, UMR 1391 ISPA, Villenave d’</w:t>
      </w:r>
      <w:proofErr w:type="spellStart"/>
      <w:r w:rsidRPr="001466AD">
        <w:rPr>
          <w:lang w:val="fr-FR"/>
        </w:rPr>
        <w:t>Ornon</w:t>
      </w:r>
      <w:proofErr w:type="spellEnd"/>
      <w:r w:rsidRPr="001466AD">
        <w:rPr>
          <w:lang w:val="fr-FR"/>
        </w:rPr>
        <w:t>, France</w:t>
      </w:r>
    </w:p>
    <w:p w:rsidR="003970F3" w:rsidRPr="001466AD" w:rsidRDefault="001466AD">
      <w:pPr>
        <w:rPr>
          <w:lang w:val="fr-FR"/>
        </w:rPr>
      </w:pPr>
      <w:r w:rsidRPr="001466AD">
        <w:rPr>
          <w:vertAlign w:val="superscript"/>
          <w:lang w:val="fr-FR"/>
        </w:rPr>
        <w:t>6</w:t>
      </w:r>
      <w:r w:rsidRPr="001466AD">
        <w:rPr>
          <w:lang w:val="fr-FR"/>
        </w:rPr>
        <w:t>CIRAD, UPR Forêts et Sociétés, Montpellier, France</w:t>
      </w:r>
    </w:p>
    <w:p w:rsidR="003970F3" w:rsidRDefault="001466AD">
      <w:r>
        <w:rPr>
          <w:vertAlign w:val="superscript"/>
        </w:rPr>
        <w:t>7</w:t>
      </w:r>
      <w:r>
        <w:t>University of Brasilia, Department of Forestry, Campus Darcy Ribeiro, Brasília 70.900-910, Brazil</w:t>
      </w:r>
    </w:p>
    <w:p w:rsidR="003970F3" w:rsidRDefault="003970F3">
      <w:pPr>
        <w:spacing w:line="360" w:lineRule="auto"/>
      </w:pPr>
    </w:p>
    <w:p w:rsidR="003970F3" w:rsidRDefault="003970F3">
      <w:pPr>
        <w:pBdr>
          <w:top w:val="none" w:sz="0" w:space="0" w:color="000000"/>
          <w:left w:val="none" w:sz="0" w:space="0" w:color="000000"/>
          <w:bottom w:val="none" w:sz="0" w:space="0" w:color="000000"/>
          <w:right w:val="none" w:sz="0" w:space="0" w:color="000000"/>
        </w:pBdr>
        <w:spacing w:line="360" w:lineRule="auto"/>
      </w:pPr>
    </w:p>
    <w:p w:rsidR="003970F3" w:rsidRPr="004E6041" w:rsidRDefault="001466AD">
      <w:pPr>
        <w:pBdr>
          <w:top w:val="none" w:sz="0" w:space="0" w:color="000000"/>
          <w:left w:val="none" w:sz="0" w:space="0" w:color="000000"/>
          <w:bottom w:val="none" w:sz="0" w:space="0" w:color="000000"/>
          <w:right w:val="none" w:sz="0" w:space="0" w:color="000000"/>
        </w:pBdr>
        <w:spacing w:line="360" w:lineRule="auto"/>
        <w:jc w:val="both"/>
        <w:rPr>
          <w:color w:val="000000"/>
          <w:sz w:val="50"/>
          <w:szCs w:val="50"/>
        </w:rPr>
      </w:pPr>
      <w:bookmarkStart w:id="0" w:name="_GoBack"/>
      <w:r w:rsidRPr="004E6041">
        <w:rPr>
          <w:color w:val="000000"/>
          <w:sz w:val="50"/>
          <w:szCs w:val="50"/>
        </w:rPr>
        <w:t>Supplementary information</w:t>
      </w:r>
    </w:p>
    <w:bookmarkEnd w:id="0"/>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1466AD">
      <w:pPr>
        <w:numPr>
          <w:ilvl w:val="0"/>
          <w:numId w:val="1"/>
        </w:numPr>
        <w:pBdr>
          <w:top w:val="none" w:sz="0" w:space="0" w:color="000000"/>
          <w:left w:val="none" w:sz="0" w:space="0" w:color="000000"/>
          <w:bottom w:val="none" w:sz="0" w:space="0" w:color="000000"/>
          <w:right w:val="none" w:sz="0" w:space="0" w:color="000000"/>
          <w:between w:val="nil"/>
        </w:pBdr>
        <w:spacing w:after="200" w:line="360" w:lineRule="auto"/>
        <w:jc w:val="both"/>
        <w:rPr>
          <w:color w:val="000000"/>
          <w:sz w:val="36"/>
          <w:szCs w:val="36"/>
        </w:rPr>
      </w:pPr>
      <w:r>
        <w:rPr>
          <w:color w:val="000000"/>
          <w:sz w:val="36"/>
          <w:szCs w:val="36"/>
        </w:rPr>
        <w:t>Sensor description</w:t>
      </w:r>
    </w:p>
    <w:p w:rsidR="003970F3" w:rsidRDefault="003970F3">
      <w:pPr>
        <w:pBdr>
          <w:top w:val="none" w:sz="0" w:space="0" w:color="000000"/>
          <w:left w:val="none" w:sz="0" w:space="0" w:color="000000"/>
          <w:bottom w:val="none" w:sz="0" w:space="0" w:color="000000"/>
          <w:right w:val="none" w:sz="0" w:space="0" w:color="000000"/>
        </w:pBdr>
        <w:spacing w:line="360" w:lineRule="auto"/>
        <w:ind w:left="360"/>
        <w:jc w:val="both"/>
      </w:pPr>
    </w:p>
    <w:tbl>
      <w:tblPr>
        <w:tblStyle w:val="a"/>
        <w:tblW w:w="8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4"/>
        <w:gridCol w:w="2888"/>
        <w:gridCol w:w="2888"/>
      </w:tblGrid>
      <w:tr w:rsidR="003970F3">
        <w:trPr>
          <w:trHeight w:val="724"/>
        </w:trPr>
        <w:tc>
          <w:tcPr>
            <w:tcW w:w="2304" w:type="dxa"/>
          </w:tcPr>
          <w:p w:rsidR="003970F3" w:rsidRDefault="001466AD">
            <w:pPr>
              <w:pBdr>
                <w:top w:val="none" w:sz="0" w:space="0" w:color="000000"/>
                <w:left w:val="none" w:sz="0" w:space="0" w:color="000000"/>
                <w:bottom w:val="none" w:sz="0" w:space="0" w:color="000000"/>
                <w:right w:val="none" w:sz="0" w:space="0" w:color="000000"/>
                <w:between w:val="nil"/>
              </w:pBdr>
              <w:spacing w:after="200" w:line="360" w:lineRule="auto"/>
              <w:ind w:left="720"/>
              <w:jc w:val="both"/>
              <w:rPr>
                <w:b/>
                <w:color w:val="000000"/>
              </w:rPr>
            </w:pPr>
            <w:r>
              <w:rPr>
                <w:b/>
                <w:color w:val="000000"/>
              </w:rPr>
              <w:t>Forests</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rPr>
                <w:b/>
              </w:rPr>
            </w:pPr>
            <w:r>
              <w:rPr>
                <w:b/>
              </w:rPr>
              <w:t>Long-term sensors</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rPr>
                <w:b/>
              </w:rPr>
            </w:pPr>
            <w:r>
              <w:rPr>
                <w:b/>
              </w:rPr>
              <w:t>Short-term sensors</w:t>
            </w:r>
          </w:p>
        </w:tc>
      </w:tr>
      <w:tr w:rsidR="003970F3">
        <w:trPr>
          <w:trHeight w:val="255"/>
        </w:trPr>
        <w:tc>
          <w:tcPr>
            <w:tcW w:w="2304" w:type="dxa"/>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LAU</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4</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12</w:t>
            </w:r>
          </w:p>
        </w:tc>
      </w:tr>
      <w:tr w:rsidR="003970F3">
        <w:trPr>
          <w:trHeight w:val="255"/>
        </w:trPr>
        <w:tc>
          <w:tcPr>
            <w:tcW w:w="2304" w:type="dxa"/>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PAR</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3</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18</w:t>
            </w:r>
          </w:p>
        </w:tc>
      </w:tr>
      <w:tr w:rsidR="003970F3">
        <w:trPr>
          <w:trHeight w:val="255"/>
        </w:trPr>
        <w:tc>
          <w:tcPr>
            <w:tcW w:w="2304" w:type="dxa"/>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NOU</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3</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57</w:t>
            </w:r>
          </w:p>
        </w:tc>
      </w:tr>
      <w:tr w:rsidR="003970F3">
        <w:trPr>
          <w:trHeight w:val="255"/>
        </w:trPr>
        <w:tc>
          <w:tcPr>
            <w:tcW w:w="2304" w:type="dxa"/>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ITO1</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6</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0</w:t>
            </w:r>
          </w:p>
        </w:tc>
      </w:tr>
      <w:tr w:rsidR="003970F3">
        <w:trPr>
          <w:trHeight w:val="255"/>
        </w:trPr>
        <w:tc>
          <w:tcPr>
            <w:tcW w:w="2304" w:type="dxa"/>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ITO2</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6</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1</w:t>
            </w:r>
          </w:p>
        </w:tc>
      </w:tr>
      <w:tr w:rsidR="003970F3">
        <w:trPr>
          <w:trHeight w:val="255"/>
        </w:trPr>
        <w:tc>
          <w:tcPr>
            <w:tcW w:w="2304" w:type="dxa"/>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ITO3</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2</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2</w:t>
            </w:r>
          </w:p>
        </w:tc>
      </w:tr>
      <w:tr w:rsidR="003970F3">
        <w:trPr>
          <w:trHeight w:val="255"/>
        </w:trPr>
        <w:tc>
          <w:tcPr>
            <w:tcW w:w="2304" w:type="dxa"/>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Total</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24</w:t>
            </w:r>
          </w:p>
        </w:tc>
        <w:tc>
          <w:tcPr>
            <w:tcW w:w="2888" w:type="dxa"/>
          </w:tcPr>
          <w:p w:rsidR="003970F3" w:rsidRDefault="001466AD">
            <w:pPr>
              <w:pBdr>
                <w:top w:val="none" w:sz="0" w:space="0" w:color="000000"/>
                <w:left w:val="none" w:sz="0" w:space="0" w:color="000000"/>
                <w:bottom w:val="none" w:sz="0" w:space="0" w:color="000000"/>
                <w:right w:val="none" w:sz="0" w:space="0" w:color="000000"/>
              </w:pBdr>
              <w:spacing w:line="360" w:lineRule="auto"/>
              <w:jc w:val="both"/>
            </w:pPr>
            <w:r>
              <w:t>90</w:t>
            </w:r>
          </w:p>
        </w:tc>
      </w:tr>
    </w:tbl>
    <w:p w:rsidR="003970F3" w:rsidRDefault="001466AD">
      <w:pPr>
        <w:pBdr>
          <w:top w:val="nil"/>
          <w:left w:val="nil"/>
          <w:bottom w:val="nil"/>
          <w:right w:val="nil"/>
          <w:between w:val="nil"/>
        </w:pBdr>
        <w:spacing w:after="200" w:line="360" w:lineRule="auto"/>
        <w:jc w:val="both"/>
        <w:rPr>
          <w:color w:val="000000"/>
        </w:rPr>
      </w:pPr>
      <w:r>
        <w:rPr>
          <w:color w:val="000000"/>
        </w:rPr>
        <w:t xml:space="preserve">Table TS1. Number of long and short-term sensors among the forest </w:t>
      </w:r>
      <w:r>
        <w:t>sites.</w:t>
      </w: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rPr>
        <w:lastRenderedPageBreak/>
        <w:drawing>
          <wp:inline distT="0" distB="0" distL="0" distR="0">
            <wp:extent cx="5940423" cy="3564253"/>
            <wp:effectExtent l="0" t="0" r="0" b="0"/>
            <wp:docPr id="1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0423" cy="3564253"/>
                    </a:xfrm>
                    <a:prstGeom prst="rect">
                      <a:avLst/>
                    </a:prstGeom>
                    <a:ln/>
                  </pic:spPr>
                </pic:pic>
              </a:graphicData>
            </a:graphic>
          </wp:inline>
        </w:drawing>
      </w:r>
    </w:p>
    <w:p w:rsidR="003970F3" w:rsidRDefault="001466AD">
      <w:pPr>
        <w:pBdr>
          <w:top w:val="nil"/>
          <w:left w:val="nil"/>
          <w:bottom w:val="nil"/>
          <w:right w:val="nil"/>
          <w:between w:val="nil"/>
        </w:pBdr>
        <w:spacing w:after="200" w:line="360" w:lineRule="auto"/>
        <w:jc w:val="both"/>
        <w:rPr>
          <w:color w:val="000000"/>
        </w:rPr>
      </w:pPr>
      <w:r>
        <w:rPr>
          <w:color w:val="000000"/>
        </w:rPr>
        <w:t>Figure S1. Number of sensors per forest site for the long-term sensors (top), short-term sensors (middle) and all sensors (bottom).</w:t>
      </w: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1466AD">
      <w:pPr>
        <w:numPr>
          <w:ilvl w:val="0"/>
          <w:numId w:val="2"/>
        </w:numPr>
        <w:pBdr>
          <w:top w:val="none" w:sz="0" w:space="0" w:color="000000"/>
          <w:left w:val="none" w:sz="0" w:space="0" w:color="000000"/>
          <w:bottom w:val="none" w:sz="0" w:space="0" w:color="000000"/>
          <w:right w:val="none" w:sz="0" w:space="0" w:color="000000"/>
          <w:between w:val="nil"/>
        </w:pBdr>
        <w:spacing w:after="200" w:line="360" w:lineRule="auto"/>
        <w:jc w:val="both"/>
        <w:rPr>
          <w:color w:val="000000"/>
          <w:sz w:val="36"/>
          <w:szCs w:val="36"/>
        </w:rPr>
      </w:pPr>
      <w:r>
        <w:rPr>
          <w:color w:val="000000"/>
          <w:sz w:val="36"/>
          <w:szCs w:val="36"/>
        </w:rPr>
        <w:t>Temperature time series and ELR correction</w:t>
      </w: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rPr>
        <w:drawing>
          <wp:inline distT="114300" distB="114300" distL="114300" distR="114300">
            <wp:extent cx="5939480" cy="2476500"/>
            <wp:effectExtent l="0" t="0" r="0" b="0"/>
            <wp:docPr id="1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5939480" cy="2476500"/>
                    </a:xfrm>
                    <a:prstGeom prst="rect">
                      <a:avLst/>
                    </a:prstGeom>
                    <a:ln/>
                  </pic:spPr>
                </pic:pic>
              </a:graphicData>
            </a:graphic>
          </wp:inline>
        </w:drawing>
      </w:r>
    </w:p>
    <w:p w:rsidR="003970F3" w:rsidRDefault="001466AD">
      <w:pPr>
        <w:pBdr>
          <w:top w:val="nil"/>
          <w:left w:val="nil"/>
          <w:bottom w:val="nil"/>
          <w:right w:val="nil"/>
          <w:between w:val="nil"/>
        </w:pBdr>
        <w:spacing w:after="200" w:line="360" w:lineRule="auto"/>
        <w:jc w:val="both"/>
        <w:rPr>
          <w:i/>
          <w:color w:val="44546A"/>
        </w:rPr>
      </w:pPr>
      <w:r>
        <w:rPr>
          <w:color w:val="000000"/>
        </w:rPr>
        <w:t>Figure S2.</w:t>
      </w:r>
      <w:r>
        <w:t xml:space="preserve"> Monthly mean air temperature (°C) time series for each </w:t>
      </w:r>
      <w:r>
        <w:rPr>
          <w:color w:val="000000"/>
        </w:rPr>
        <w:t xml:space="preserve">sensor </w:t>
      </w:r>
      <w:r>
        <w:t>(</w:t>
      </w:r>
      <w:r>
        <w:rPr>
          <w:color w:val="000000"/>
        </w:rPr>
        <w:t>left) and their equivalent at sea-level (right). The mean is shown in black in the right panel</w:t>
      </w:r>
      <w:r>
        <w:rPr>
          <w:i/>
          <w:color w:val="44546A"/>
        </w:rPr>
        <w:t xml:space="preserve">. </w:t>
      </w: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rPr>
        <w:lastRenderedPageBreak/>
        <w:drawing>
          <wp:inline distT="0" distB="0" distL="0" distR="0">
            <wp:extent cx="5939790" cy="5346065"/>
            <wp:effectExtent l="0" t="0" r="0" b="0"/>
            <wp:docPr id="1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39790" cy="5346065"/>
                    </a:xfrm>
                    <a:prstGeom prst="rect">
                      <a:avLst/>
                    </a:prstGeom>
                    <a:ln/>
                  </pic:spPr>
                </pic:pic>
              </a:graphicData>
            </a:graphic>
          </wp:inline>
        </w:drawing>
      </w:r>
    </w:p>
    <w:p w:rsidR="003970F3" w:rsidRDefault="001466AD">
      <w:pPr>
        <w:pBdr>
          <w:top w:val="nil"/>
          <w:left w:val="nil"/>
          <w:bottom w:val="nil"/>
          <w:right w:val="nil"/>
          <w:between w:val="nil"/>
        </w:pBdr>
        <w:spacing w:after="200" w:line="360" w:lineRule="auto"/>
        <w:ind w:left="708" w:hanging="708"/>
        <w:jc w:val="both"/>
        <w:rPr>
          <w:color w:val="000000"/>
        </w:rPr>
      </w:pPr>
      <w:r>
        <w:rPr>
          <w:color w:val="000000"/>
        </w:rPr>
        <w:t xml:space="preserve">Figure S3. Evolution of monthly mean (a), minimum (b) and maximum (c) understory temperature for long-term sensors at </w:t>
      </w:r>
      <w:proofErr w:type="spellStart"/>
      <w:r>
        <w:rPr>
          <w:color w:val="000000"/>
        </w:rPr>
        <w:t>Nouragues</w:t>
      </w:r>
      <w:proofErr w:type="spellEnd"/>
      <w:r>
        <w:rPr>
          <w:color w:val="000000"/>
        </w:rPr>
        <w:t xml:space="preserve"> (green), </w:t>
      </w:r>
      <w:proofErr w:type="spellStart"/>
      <w:r>
        <w:rPr>
          <w:color w:val="000000"/>
        </w:rPr>
        <w:t>Paracou</w:t>
      </w:r>
      <w:proofErr w:type="spellEnd"/>
      <w:r>
        <w:rPr>
          <w:color w:val="000000"/>
        </w:rPr>
        <w:t xml:space="preserve"> (maroon), </w:t>
      </w:r>
      <w:proofErr w:type="spellStart"/>
      <w:r>
        <w:rPr>
          <w:color w:val="000000"/>
        </w:rPr>
        <w:t>Laussat</w:t>
      </w:r>
      <w:proofErr w:type="spellEnd"/>
      <w:r>
        <w:rPr>
          <w:color w:val="000000"/>
        </w:rPr>
        <w:t xml:space="preserve"> (gold) a</w:t>
      </w:r>
      <w:r>
        <w:t xml:space="preserve">nd </w:t>
      </w:r>
      <w:proofErr w:type="spellStart"/>
      <w:r>
        <w:t>Itoupé</w:t>
      </w:r>
      <w:proofErr w:type="spellEnd"/>
      <w:r>
        <w:t xml:space="preserve"> (ITO1: indigo, ITO2: light indigo and ITO3: light blue)</w:t>
      </w:r>
      <w:r>
        <w:rPr>
          <w:color w:val="000000"/>
        </w:rPr>
        <w:t xml:space="preserve">. The shaded area represents the standard error of the mean. </w:t>
      </w:r>
    </w:p>
    <w:p w:rsidR="003970F3" w:rsidRDefault="003970F3"/>
    <w:p w:rsidR="003970F3" w:rsidRDefault="001466AD">
      <w:pPr>
        <w:pBdr>
          <w:top w:val="none" w:sz="0" w:space="0" w:color="000000"/>
          <w:left w:val="none" w:sz="0" w:space="6" w:color="000000"/>
          <w:bottom w:val="none" w:sz="0" w:space="0" w:color="000000"/>
          <w:right w:val="none" w:sz="0" w:space="0" w:color="000000"/>
        </w:pBdr>
        <w:spacing w:line="360" w:lineRule="auto"/>
        <w:jc w:val="both"/>
      </w:pPr>
      <w:r>
        <w:rPr>
          <w:noProof/>
        </w:rPr>
        <w:lastRenderedPageBreak/>
        <w:drawing>
          <wp:inline distT="0" distB="0" distL="0" distR="0">
            <wp:extent cx="5939790" cy="5346065"/>
            <wp:effectExtent l="0" t="0" r="0" b="0"/>
            <wp:docPr id="1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39790" cy="5346065"/>
                    </a:xfrm>
                    <a:prstGeom prst="rect">
                      <a:avLst/>
                    </a:prstGeom>
                    <a:ln/>
                  </pic:spPr>
                </pic:pic>
              </a:graphicData>
            </a:graphic>
          </wp:inline>
        </w:drawing>
      </w:r>
    </w:p>
    <w:p w:rsidR="003970F3" w:rsidRDefault="001466AD">
      <w:pPr>
        <w:pBdr>
          <w:top w:val="nil"/>
          <w:left w:val="nil"/>
          <w:bottom w:val="nil"/>
          <w:right w:val="nil"/>
          <w:between w:val="nil"/>
        </w:pBdr>
        <w:spacing w:after="200" w:line="360" w:lineRule="auto"/>
        <w:ind w:left="708" w:hanging="708"/>
        <w:jc w:val="both"/>
        <w:rPr>
          <w:color w:val="000000"/>
        </w:rPr>
      </w:pPr>
      <w:r>
        <w:rPr>
          <w:color w:val="000000"/>
        </w:rPr>
        <w:t xml:space="preserve">Figure S4. Evolution of monthly mean (a), minimum (b) and maximum (c) understory temperature for long-term sensors once corrected for altitude at </w:t>
      </w:r>
      <w:proofErr w:type="spellStart"/>
      <w:r>
        <w:rPr>
          <w:color w:val="000000"/>
        </w:rPr>
        <w:t>Nouragues</w:t>
      </w:r>
      <w:proofErr w:type="spellEnd"/>
      <w:r>
        <w:rPr>
          <w:color w:val="000000"/>
        </w:rPr>
        <w:t xml:space="preserve"> (green), </w:t>
      </w:r>
      <w:proofErr w:type="spellStart"/>
      <w:r>
        <w:rPr>
          <w:color w:val="000000"/>
        </w:rPr>
        <w:t>Paracou</w:t>
      </w:r>
      <w:proofErr w:type="spellEnd"/>
      <w:r>
        <w:rPr>
          <w:color w:val="000000"/>
        </w:rPr>
        <w:t xml:space="preserve"> (maroon), </w:t>
      </w:r>
      <w:proofErr w:type="spellStart"/>
      <w:r>
        <w:rPr>
          <w:color w:val="000000"/>
        </w:rPr>
        <w:t>Laussat</w:t>
      </w:r>
      <w:proofErr w:type="spellEnd"/>
      <w:r>
        <w:rPr>
          <w:color w:val="000000"/>
        </w:rPr>
        <w:t xml:space="preserve"> (gold) and </w:t>
      </w:r>
      <w:proofErr w:type="spellStart"/>
      <w:r>
        <w:rPr>
          <w:color w:val="000000"/>
        </w:rPr>
        <w:t>Itoupé</w:t>
      </w:r>
      <w:proofErr w:type="spellEnd"/>
      <w:r>
        <w:rPr>
          <w:color w:val="000000"/>
        </w:rPr>
        <w:t xml:space="preserve"> (indigo). The shaded area represents the standard error of the mean. </w:t>
      </w:r>
    </w:p>
    <w:p w:rsidR="003970F3" w:rsidRDefault="003970F3">
      <w:pPr>
        <w:rPr>
          <w:color w:val="000000"/>
        </w:rPr>
      </w:pPr>
    </w:p>
    <w:p w:rsidR="003970F3" w:rsidRDefault="003970F3">
      <w:pPr>
        <w:pBdr>
          <w:top w:val="nil"/>
          <w:left w:val="nil"/>
          <w:bottom w:val="nil"/>
          <w:right w:val="nil"/>
          <w:between w:val="nil"/>
        </w:pBdr>
        <w:spacing w:after="200" w:line="360" w:lineRule="auto"/>
        <w:rPr>
          <w:color w:val="000000"/>
        </w:rPr>
      </w:pP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lastRenderedPageBreak/>
        <w:t xml:space="preserve"> </w:t>
      </w:r>
      <w:r>
        <w:rPr>
          <w:noProof/>
        </w:rPr>
        <w:drawing>
          <wp:inline distT="0" distB="0" distL="0" distR="0">
            <wp:extent cx="5939790" cy="5346065"/>
            <wp:effectExtent l="0" t="0" r="0" b="0"/>
            <wp:docPr id="1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939790" cy="5346065"/>
                    </a:xfrm>
                    <a:prstGeom prst="rect">
                      <a:avLst/>
                    </a:prstGeom>
                    <a:ln/>
                  </pic:spPr>
                </pic:pic>
              </a:graphicData>
            </a:graphic>
          </wp:inline>
        </w:drawing>
      </w:r>
    </w:p>
    <w:p w:rsidR="003970F3" w:rsidRDefault="001466AD">
      <w:pPr>
        <w:pBdr>
          <w:top w:val="nil"/>
          <w:left w:val="nil"/>
          <w:bottom w:val="nil"/>
          <w:right w:val="nil"/>
          <w:between w:val="nil"/>
        </w:pBdr>
        <w:spacing w:after="200" w:line="360" w:lineRule="auto"/>
        <w:ind w:left="708" w:hanging="708"/>
        <w:jc w:val="both"/>
        <w:rPr>
          <w:color w:val="000000"/>
        </w:rPr>
      </w:pPr>
      <w:r>
        <w:rPr>
          <w:color w:val="000000"/>
        </w:rPr>
        <w:t xml:space="preserve">Figure S5. As Fig.S4 but for the full dataset. Evolution of monthly mean (a), minimum (b) and maximum (c) understory temperature for all sensors once corrected for altitude at </w:t>
      </w:r>
      <w:proofErr w:type="spellStart"/>
      <w:r>
        <w:rPr>
          <w:color w:val="000000"/>
        </w:rPr>
        <w:t>Nouragues</w:t>
      </w:r>
      <w:proofErr w:type="spellEnd"/>
      <w:r>
        <w:rPr>
          <w:color w:val="000000"/>
        </w:rPr>
        <w:t xml:space="preserve"> (green), </w:t>
      </w:r>
      <w:proofErr w:type="spellStart"/>
      <w:r>
        <w:rPr>
          <w:color w:val="000000"/>
        </w:rPr>
        <w:t>Paracou</w:t>
      </w:r>
      <w:proofErr w:type="spellEnd"/>
      <w:r>
        <w:rPr>
          <w:color w:val="000000"/>
        </w:rPr>
        <w:t xml:space="preserve"> (maroon), </w:t>
      </w:r>
      <w:proofErr w:type="spellStart"/>
      <w:r>
        <w:rPr>
          <w:color w:val="000000"/>
        </w:rPr>
        <w:t>Laussat</w:t>
      </w:r>
      <w:proofErr w:type="spellEnd"/>
      <w:r>
        <w:rPr>
          <w:color w:val="000000"/>
        </w:rPr>
        <w:t xml:space="preserve"> (gold) and </w:t>
      </w:r>
      <w:proofErr w:type="spellStart"/>
      <w:r>
        <w:rPr>
          <w:color w:val="000000"/>
        </w:rPr>
        <w:t>Itoupé</w:t>
      </w:r>
      <w:proofErr w:type="spellEnd"/>
      <w:r>
        <w:rPr>
          <w:color w:val="000000"/>
        </w:rPr>
        <w:t xml:space="preserve"> (</w:t>
      </w:r>
      <w:r>
        <w:t>i</w:t>
      </w:r>
      <w:r>
        <w:rPr>
          <w:color w:val="000000"/>
        </w:rPr>
        <w:t>ndigo). The shaded area represents the standard error of the mean.</w:t>
      </w:r>
    </w:p>
    <w:p w:rsidR="003970F3" w:rsidRDefault="003970F3"/>
    <w:p w:rsidR="003970F3" w:rsidRDefault="003970F3">
      <w:pPr>
        <w:pBdr>
          <w:top w:val="none" w:sz="0" w:space="0" w:color="000000"/>
          <w:left w:val="none" w:sz="0" w:space="0" w:color="000000"/>
          <w:bottom w:val="none" w:sz="0" w:space="0" w:color="000000"/>
          <w:right w:val="none" w:sz="0" w:space="0" w:color="000000"/>
        </w:pBdr>
        <w:spacing w:line="360" w:lineRule="auto"/>
        <w:jc w:val="both"/>
        <w:rPr>
          <w:color w:val="000000"/>
        </w:rPr>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rPr>
        <w:drawing>
          <wp:inline distT="0" distB="0" distL="0" distR="0">
            <wp:extent cx="5939790" cy="542925"/>
            <wp:effectExtent l="0" t="0" r="0" b="0"/>
            <wp:docPr id="1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39790" cy="542925"/>
                    </a:xfrm>
                    <a:prstGeom prst="rect">
                      <a:avLst/>
                    </a:prstGeom>
                    <a:ln/>
                  </pic:spPr>
                </pic:pic>
              </a:graphicData>
            </a:graphic>
          </wp:inline>
        </w:drawing>
      </w:r>
    </w:p>
    <w:p w:rsidR="003970F3" w:rsidRDefault="001466AD">
      <w:pPr>
        <w:pBdr>
          <w:top w:val="nil"/>
          <w:left w:val="nil"/>
          <w:bottom w:val="nil"/>
          <w:right w:val="nil"/>
          <w:between w:val="nil"/>
        </w:pBdr>
        <w:spacing w:after="200" w:line="360" w:lineRule="auto"/>
        <w:jc w:val="both"/>
        <w:rPr>
          <w:color w:val="000000"/>
        </w:rPr>
      </w:pPr>
      <w:r>
        <w:rPr>
          <w:color w:val="000000"/>
        </w:rPr>
        <w:t>Table TS2. Average monthly mean, minimum and maximum temperature and their corresponding trend over the 2014-2024 period (11 years) for the full dataset (1</w:t>
      </w:r>
      <w:r>
        <w:rPr>
          <w:color w:val="000000"/>
          <w:vertAlign w:val="superscript"/>
        </w:rPr>
        <w:t>st</w:t>
      </w:r>
      <w:r>
        <w:rPr>
          <w:color w:val="000000"/>
        </w:rPr>
        <w:t xml:space="preserve"> line) corrected for altitude and the weather station in </w:t>
      </w:r>
      <w:proofErr w:type="spellStart"/>
      <w:r>
        <w:rPr>
          <w:color w:val="000000"/>
        </w:rPr>
        <w:t>Kourou</w:t>
      </w:r>
      <w:proofErr w:type="spellEnd"/>
      <w:r>
        <w:rPr>
          <w:color w:val="000000"/>
        </w:rPr>
        <w:t xml:space="preserve"> (2</w:t>
      </w:r>
      <w:r>
        <w:rPr>
          <w:color w:val="000000"/>
          <w:vertAlign w:val="superscript"/>
        </w:rPr>
        <w:t>nd</w:t>
      </w:r>
      <w:r>
        <w:rPr>
          <w:color w:val="000000"/>
        </w:rPr>
        <w:t xml:space="preserve"> line). </w:t>
      </w: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1466AD">
      <w:pPr>
        <w:spacing w:line="360" w:lineRule="auto"/>
      </w:pPr>
      <w:bookmarkStart w:id="1" w:name="_heading=h.rstk0ot37o4s" w:colFirst="0" w:colLast="0"/>
      <w:bookmarkEnd w:id="1"/>
      <w:r>
        <w:rPr>
          <w:noProof/>
        </w:rPr>
        <w:drawing>
          <wp:inline distT="0" distB="0" distL="0" distR="0">
            <wp:extent cx="5939790" cy="1676400"/>
            <wp:effectExtent l="0" t="0" r="0" b="0"/>
            <wp:docPr id="1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939790" cy="1676400"/>
                    </a:xfrm>
                    <a:prstGeom prst="rect">
                      <a:avLst/>
                    </a:prstGeom>
                    <a:ln/>
                  </pic:spPr>
                </pic:pic>
              </a:graphicData>
            </a:graphic>
          </wp:inline>
        </w:drawing>
      </w:r>
    </w:p>
    <w:p w:rsidR="003970F3" w:rsidRDefault="003970F3">
      <w:pPr>
        <w:spacing w:line="360" w:lineRule="auto"/>
      </w:pPr>
      <w:bookmarkStart w:id="2" w:name="_heading=h.b0gejledj4tr" w:colFirst="0" w:colLast="0"/>
      <w:bookmarkEnd w:id="2"/>
    </w:p>
    <w:p w:rsidR="003970F3" w:rsidRDefault="001466AD">
      <w:pPr>
        <w:pBdr>
          <w:top w:val="nil"/>
          <w:left w:val="nil"/>
          <w:bottom w:val="nil"/>
          <w:right w:val="nil"/>
          <w:between w:val="nil"/>
        </w:pBdr>
        <w:spacing w:after="200" w:line="360" w:lineRule="auto"/>
        <w:jc w:val="both"/>
      </w:pPr>
      <w:r>
        <w:rPr>
          <w:color w:val="000000"/>
        </w:rPr>
        <w:t>Table TS3. Mean, minimum and maximum understory air temperature (°C</w:t>
      </w:r>
      <w:r>
        <w:t xml:space="preserve">) </w:t>
      </w:r>
      <w:r>
        <w:rPr>
          <w:color w:val="000000"/>
        </w:rPr>
        <w:t>and their corresponding trend (</w:t>
      </w:r>
      <w:r>
        <w:t xml:space="preserve">°C/year) </w:t>
      </w:r>
      <w:r>
        <w:rPr>
          <w:color w:val="000000"/>
        </w:rPr>
        <w:t>over the 2018-2024 period for long-term sensors only.</w:t>
      </w:r>
    </w:p>
    <w:p w:rsidR="003970F3" w:rsidRDefault="003970F3">
      <w:pPr>
        <w:spacing w:line="360" w:lineRule="auto"/>
        <w:ind w:left="720"/>
      </w:pPr>
    </w:p>
    <w:p w:rsidR="003970F3" w:rsidRDefault="001466AD">
      <w:pPr>
        <w:numPr>
          <w:ilvl w:val="0"/>
          <w:numId w:val="2"/>
        </w:numPr>
        <w:pBdr>
          <w:top w:val="nil"/>
          <w:left w:val="nil"/>
          <w:bottom w:val="nil"/>
          <w:right w:val="nil"/>
          <w:between w:val="nil"/>
        </w:pBdr>
        <w:spacing w:after="200" w:line="276" w:lineRule="auto"/>
        <w:rPr>
          <w:color w:val="000000"/>
          <w:sz w:val="36"/>
          <w:szCs w:val="36"/>
        </w:rPr>
      </w:pPr>
      <w:r>
        <w:rPr>
          <w:sz w:val="36"/>
          <w:szCs w:val="36"/>
        </w:rPr>
        <w:t xml:space="preserve">ERA5-Land </w:t>
      </w:r>
      <w:r>
        <w:rPr>
          <w:color w:val="000000"/>
          <w:sz w:val="36"/>
          <w:szCs w:val="36"/>
        </w:rPr>
        <w:t>temperatures debiasing</w:t>
      </w:r>
    </w:p>
    <w:p w:rsidR="003970F3" w:rsidRDefault="001466AD">
      <w:pPr>
        <w:pBdr>
          <w:top w:val="none" w:sz="0" w:space="0" w:color="000000"/>
          <w:left w:val="none" w:sz="0" w:space="0" w:color="000000"/>
          <w:bottom w:val="none" w:sz="0" w:space="0" w:color="000000"/>
          <w:right w:val="none" w:sz="0" w:space="0" w:color="000000"/>
        </w:pBdr>
        <w:spacing w:line="360" w:lineRule="auto"/>
        <w:jc w:val="both"/>
        <w:rPr>
          <w:color w:val="000000"/>
        </w:rPr>
      </w:pPr>
      <w:r>
        <w:rPr>
          <w:color w:val="000000"/>
        </w:rPr>
        <w:t xml:space="preserve">In French Guiana we observed large biases both for mean and variance between weather station monthly temperatures, </w:t>
      </w:r>
      <w:proofErr w:type="spellStart"/>
      <w:r>
        <w:rPr>
          <w:color w:val="000000"/>
        </w:rPr>
        <w:t>T</w:t>
      </w:r>
      <w:r>
        <w:rPr>
          <w:color w:val="000000"/>
          <w:vertAlign w:val="subscript"/>
        </w:rPr>
        <w:t>ws</w:t>
      </w:r>
      <w:proofErr w:type="spellEnd"/>
      <w:r>
        <w:rPr>
          <w:color w:val="000000"/>
          <w:vertAlign w:val="subscript"/>
        </w:rPr>
        <w:t xml:space="preserve"> </w:t>
      </w:r>
      <w:r>
        <w:rPr>
          <w:color w:val="000000"/>
        </w:rPr>
        <w:t xml:space="preserve">and </w:t>
      </w:r>
      <w:r>
        <w:t xml:space="preserve">ERA5-Land hourly and </w:t>
      </w:r>
      <w:r>
        <w:rPr>
          <w:color w:val="000000"/>
        </w:rPr>
        <w:t xml:space="preserve">monthly temperatures, </w:t>
      </w:r>
      <w:proofErr w:type="spellStart"/>
      <w:r>
        <w:rPr>
          <w:color w:val="000000"/>
        </w:rPr>
        <w:t>T</w:t>
      </w:r>
      <w:r>
        <w:rPr>
          <w:color w:val="000000"/>
          <w:vertAlign w:val="subscript"/>
        </w:rPr>
        <w:t>e</w:t>
      </w:r>
      <w:proofErr w:type="spellEnd"/>
      <w:r>
        <w:rPr>
          <w:color w:val="000000"/>
        </w:rPr>
        <w:t xml:space="preserve">. One way to bias-correct </w:t>
      </w:r>
      <w:proofErr w:type="spellStart"/>
      <w:r>
        <w:rPr>
          <w:color w:val="000000"/>
        </w:rPr>
        <w:t>T</w:t>
      </w:r>
      <w:r>
        <w:rPr>
          <w:color w:val="000000"/>
          <w:vertAlign w:val="subscript"/>
        </w:rPr>
        <w:t>e</w:t>
      </w:r>
      <w:proofErr w:type="spellEnd"/>
      <w:r>
        <w:rPr>
          <w:color w:val="000000"/>
        </w:rPr>
        <w:t xml:space="preserve"> is to find two parameters a and b such that </w:t>
      </w:r>
      <m:oMath>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rPr>
              <m:t>T</m:t>
            </m:r>
          </m:e>
          <m:sub>
            <m:r>
              <w:rPr>
                <w:rFonts w:ascii="Cambria Math" w:eastAsia="Cambria Math" w:hAnsi="Cambria Math" w:cs="Cambria Math"/>
                <w:color w:val="000000"/>
                <w:vertAlign w:val="subscript"/>
              </w:rPr>
              <m:t>ec</m:t>
            </m:r>
          </m:sub>
        </m:sSub>
        <m:r>
          <w:rPr>
            <w:rFonts w:ascii="Cambria Math" w:eastAsia="Cambria Math" w:hAnsi="Cambria Math" w:cs="Cambria Math"/>
            <w:color w:val="000000"/>
            <w:highlight w:val="white"/>
          </w:rPr>
          <m:t>=</m:t>
        </m:r>
        <m:f>
          <m:fPr>
            <m:ctrlPr>
              <w:rPr>
                <w:rFonts w:ascii="Cambria Math" w:eastAsia="Cambria Math" w:hAnsi="Cambria Math" w:cs="Cambria Math"/>
                <w:color w:val="000000"/>
                <w:highlight w:val="white"/>
              </w:rPr>
            </m:ctrlPr>
          </m:fPr>
          <m:num>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r>
              <w:rPr>
                <w:rFonts w:ascii="Cambria Math" w:eastAsia="Cambria Math" w:hAnsi="Cambria Math" w:cs="Cambria Math"/>
                <w:color w:val="000000"/>
                <w:highlight w:val="white"/>
              </w:rPr>
              <m:t>-b</m:t>
            </m:r>
          </m:num>
          <m:den>
            <m:r>
              <w:rPr>
                <w:rFonts w:ascii="Cambria Math" w:eastAsia="Cambria Math" w:hAnsi="Cambria Math" w:cs="Cambria Math"/>
                <w:color w:val="000000"/>
                <w:highlight w:val="white"/>
              </w:rPr>
              <m:t>a</m:t>
            </m:r>
          </m:den>
        </m:f>
      </m:oMath>
      <w:r>
        <w:rPr>
          <w:color w:val="000000"/>
        </w:rPr>
        <w:t xml:space="preserve"> where T</w:t>
      </w:r>
      <w:proofErr w:type="spellStart"/>
      <w:r>
        <w:rPr>
          <w:color w:val="000000"/>
          <w:vertAlign w:val="subscript"/>
        </w:rPr>
        <w:t>ec</w:t>
      </w:r>
      <w:proofErr w:type="spellEnd"/>
      <w:r>
        <w:rPr>
          <w:color w:val="000000"/>
        </w:rPr>
        <w:t xml:space="preserve"> is the </w:t>
      </w:r>
      <w:r>
        <w:t xml:space="preserve">ERA5-Land </w:t>
      </w:r>
      <w:r>
        <w:rPr>
          <w:color w:val="000000"/>
        </w:rPr>
        <w:t xml:space="preserve">bias-corrected temperature. This problem can be solved provided </w:t>
      </w:r>
      <w:r>
        <w:t>that the mean</w:t>
      </w:r>
      <w:r>
        <w:rPr>
          <w:color w:val="000000"/>
        </w:rPr>
        <w:t xml:space="preserve"> and variance of the biased-corrected temperature equals that of the weather station temperature. In other words, the conditions </w:t>
      </w:r>
      <w:proofErr w:type="gramStart"/>
      <w:r>
        <w:rPr>
          <w:color w:val="000000"/>
        </w:rPr>
        <w:t>are :</w:t>
      </w:r>
      <w:proofErr w:type="gramEnd"/>
    </w:p>
    <w:p w:rsidR="003970F3" w:rsidRDefault="001466AD">
      <w:pPr>
        <w:jc w:val="center"/>
      </w:pPr>
      <m:oMathPara>
        <m:oMath>
          <m:r>
            <w:rPr>
              <w:rFonts w:ascii="Cambria Math" w:hAnsi="Cambria Math"/>
            </w:rPr>
            <m:t>{</m:t>
          </m:r>
          <m:r>
            <w:rPr>
              <w:rFonts w:ascii="Cambria Math" w:eastAsia="Cambria Math" w:hAnsi="Cambria Math" w:cs="Cambria Math"/>
              <w:color w:val="000000"/>
              <w:highlight w:val="white"/>
            </w:rPr>
            <m:t>mean</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ec</m:t>
                  </m:r>
                </m:sub>
              </m:sSub>
            </m:e>
          </m:d>
          <m:r>
            <w:rPr>
              <w:rFonts w:ascii="Cambria Math" w:eastAsia="Cambria Math" w:hAnsi="Cambria Math" w:cs="Cambria Math"/>
              <w:color w:val="000000"/>
              <w:highlight w:val="white"/>
            </w:rPr>
            <m:t>=mean</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r>
            <w:rPr>
              <w:rFonts w:ascii="Cambria Math" w:hAnsi="Cambria Math"/>
            </w:rPr>
            <m:t xml:space="preserve"> </m:t>
          </m:r>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ec</m:t>
                  </m:r>
                </m:sub>
              </m:sSub>
            </m:e>
          </m:d>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sz w:val="21"/>
                      <w:szCs w:val="21"/>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m:t>
                  </m:r>
                  <m:r>
                    <w:rPr>
                      <w:rFonts w:ascii="Cambria Math" w:eastAsia="Cambria Math" w:hAnsi="Cambria Math" w:cs="Cambria Math"/>
                      <w:sz w:val="21"/>
                      <w:szCs w:val="21"/>
                    </w:rPr>
                    <m:t>s</m:t>
                  </m:r>
                </m:sub>
              </m:sSub>
            </m:e>
          </m:d>
          <m:r>
            <w:rPr>
              <w:rFonts w:ascii="Cambria Math" w:hAnsi="Cambria Math"/>
            </w:rPr>
            <m:t xml:space="preserve"> </m:t>
          </m:r>
        </m:oMath>
      </m:oMathPara>
    </w:p>
    <w:p w:rsidR="003970F3" w:rsidRDefault="001466AD">
      <w:pPr>
        <w:jc w:val="center"/>
      </w:pPr>
      <m:oMathPara>
        <m:oMath>
          <m:r>
            <w:rPr>
              <w:rFonts w:ascii="Cambria Math" w:hAnsi="Cambria Math"/>
            </w:rPr>
            <m:t>⇔{</m:t>
          </m:r>
          <m:r>
            <w:rPr>
              <w:rFonts w:ascii="Cambria Math" w:eastAsia="Cambria Math" w:hAnsi="Cambria Math" w:cs="Cambria Math"/>
              <w:color w:val="000000"/>
              <w:highlight w:val="white"/>
            </w:rPr>
            <m:t>mean</m:t>
          </m:r>
          <m:d>
            <m:dPr>
              <m:ctrlPr>
                <w:rPr>
                  <w:rFonts w:ascii="Cambria Math" w:eastAsia="Cambria Math" w:hAnsi="Cambria Math" w:cs="Cambria Math"/>
                  <w:color w:val="000000"/>
                  <w:highlight w:val="white"/>
                </w:rPr>
              </m:ctrlPr>
            </m:dPr>
            <m:e>
              <m:f>
                <m:fPr>
                  <m:ctrlPr>
                    <w:rPr>
                      <w:rFonts w:ascii="Cambria Math" w:eastAsia="Cambria Math" w:hAnsi="Cambria Math" w:cs="Cambria Math"/>
                      <w:color w:val="000000"/>
                      <w:highlight w:val="white"/>
                    </w:rPr>
                  </m:ctrlPr>
                </m:fPr>
                <m:num>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r>
                    <w:rPr>
                      <w:rFonts w:ascii="Cambria Math" w:eastAsia="Cambria Math" w:hAnsi="Cambria Math" w:cs="Cambria Math"/>
                      <w:color w:val="000000"/>
                      <w:highlight w:val="white"/>
                    </w:rPr>
                    <m:t>-b</m:t>
                  </m:r>
                </m:num>
                <m:den>
                  <m:r>
                    <w:rPr>
                      <w:rFonts w:ascii="Cambria Math" w:eastAsia="Cambria Math" w:hAnsi="Cambria Math" w:cs="Cambria Math"/>
                      <w:color w:val="000000"/>
                      <w:highlight w:val="white"/>
                    </w:rPr>
                    <m:t>a</m:t>
                  </m:r>
                </m:den>
              </m:f>
            </m:e>
          </m:d>
          <m:r>
            <w:rPr>
              <w:rFonts w:ascii="Cambria Math" w:eastAsia="Cambria Math" w:hAnsi="Cambria Math" w:cs="Cambria Math"/>
              <w:color w:val="000000"/>
              <w:highlight w:val="white"/>
            </w:rPr>
            <m:t>=mean</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r>
            <w:rPr>
              <w:rFonts w:ascii="Cambria Math" w:hAnsi="Cambria Math"/>
            </w:rPr>
            <m:t xml:space="preserve"> </m:t>
          </m:r>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f>
                <m:fPr>
                  <m:ctrlPr>
                    <w:rPr>
                      <w:rFonts w:ascii="Cambria Math" w:eastAsia="Cambria Math" w:hAnsi="Cambria Math" w:cs="Cambria Math"/>
                      <w:color w:val="000000"/>
                      <w:highlight w:val="white"/>
                    </w:rPr>
                  </m:ctrlPr>
                </m:fPr>
                <m:num>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r>
                    <w:rPr>
                      <w:rFonts w:ascii="Cambria Math" w:eastAsia="Cambria Math" w:hAnsi="Cambria Math" w:cs="Cambria Math"/>
                      <w:color w:val="000000"/>
                      <w:highlight w:val="white"/>
                    </w:rPr>
                    <m:t>-b</m:t>
                  </m:r>
                </m:num>
                <m:den>
                  <m:r>
                    <w:rPr>
                      <w:rFonts w:ascii="Cambria Math" w:eastAsia="Cambria Math" w:hAnsi="Cambria Math" w:cs="Cambria Math"/>
                      <w:color w:val="000000"/>
                      <w:highlight w:val="white"/>
                    </w:rPr>
                    <m:t>a</m:t>
                  </m:r>
                </m:den>
              </m:f>
            </m:e>
          </m:d>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sz w:val="21"/>
                      <w:szCs w:val="21"/>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m:t>
                  </m:r>
                  <m:r>
                    <w:rPr>
                      <w:rFonts w:ascii="Cambria Math" w:eastAsia="Cambria Math" w:hAnsi="Cambria Math" w:cs="Cambria Math"/>
                      <w:sz w:val="21"/>
                      <w:szCs w:val="21"/>
                    </w:rPr>
                    <m:t>s</m:t>
                  </m:r>
                </m:sub>
              </m:sSub>
            </m:e>
          </m:d>
          <m:r>
            <w:rPr>
              <w:rFonts w:ascii="Cambria Math" w:hAnsi="Cambria Math"/>
            </w:rPr>
            <m:t xml:space="preserve"> </m:t>
          </m:r>
        </m:oMath>
      </m:oMathPara>
    </w:p>
    <w:p w:rsidR="003970F3" w:rsidRDefault="001466AD">
      <w:pPr>
        <w:pBdr>
          <w:top w:val="none" w:sz="0" w:space="0" w:color="000000"/>
          <w:left w:val="none" w:sz="0" w:space="0" w:color="000000"/>
          <w:bottom w:val="none" w:sz="0" w:space="0" w:color="000000"/>
          <w:right w:val="none" w:sz="0" w:space="0" w:color="000000"/>
        </w:pBdr>
        <w:spacing w:line="360" w:lineRule="auto"/>
        <w:jc w:val="both"/>
        <w:rPr>
          <w:color w:val="000000"/>
        </w:rPr>
      </w:pPr>
      <w:r>
        <w:rPr>
          <w:color w:val="000000"/>
        </w:rPr>
        <w:t>Because the standard deviation is invariant by translation, we reformulate the equations to get a and b:</w:t>
      </w:r>
    </w:p>
    <w:p w:rsidR="003970F3" w:rsidRDefault="001466AD">
      <w:pPr>
        <w:jc w:val="center"/>
      </w:pPr>
      <m:oMathPara>
        <m:oMath>
          <m:r>
            <w:rPr>
              <w:rFonts w:ascii="Cambria Math" w:hAnsi="Cambria Math"/>
            </w:rPr>
            <m:t>⇔{</m:t>
          </m:r>
          <m:r>
            <w:rPr>
              <w:rFonts w:ascii="Cambria Math" w:eastAsia="Cambria Math" w:hAnsi="Cambria Math" w:cs="Cambria Math"/>
              <w:color w:val="000000"/>
              <w:highlight w:val="white"/>
            </w:rPr>
            <m:t>b=mean</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e>
          </m:d>
          <m:r>
            <w:rPr>
              <w:rFonts w:ascii="Cambria Math" w:eastAsia="Cambria Math" w:hAnsi="Cambria Math" w:cs="Cambria Math"/>
              <w:color w:val="000000"/>
              <w:highlight w:val="white"/>
            </w:rPr>
            <m:t xml:space="preserve"> - mean</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r>
            <w:rPr>
              <w:rFonts w:ascii="Cambria Math" w:eastAsia="Cambria Math" w:hAnsi="Cambria Math" w:cs="Cambria Math"/>
              <w:color w:val="000000"/>
              <w:highlight w:val="white"/>
            </w:rPr>
            <m:t>*a</m:t>
          </m:r>
          <m:r>
            <w:rPr>
              <w:rFonts w:ascii="Cambria Math" w:hAnsi="Cambria Math"/>
            </w:rPr>
            <m:t xml:space="preserve"> </m:t>
          </m:r>
          <m:r>
            <w:rPr>
              <w:rFonts w:ascii="Cambria Math" w:eastAsia="Cambria Math" w:hAnsi="Cambria Math" w:cs="Cambria Math"/>
              <w:color w:val="000000"/>
              <w:highlight w:val="white"/>
            </w:rPr>
            <m:t>a=</m:t>
          </m:r>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e>
              </m:d>
            </m:num>
            <m:den>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den>
          </m:f>
          <m:r>
            <w:rPr>
              <w:rFonts w:ascii="Cambria Math" w:hAnsi="Cambria Math"/>
            </w:rPr>
            <m:t xml:space="preserve"> </m:t>
          </m:r>
        </m:oMath>
      </m:oMathPara>
    </w:p>
    <w:p w:rsidR="003970F3" w:rsidRDefault="001466AD">
      <w:pPr>
        <w:jc w:val="center"/>
      </w:pPr>
      <m:oMathPara>
        <m:oMath>
          <m:r>
            <w:rPr>
              <w:rFonts w:ascii="Cambria Math" w:hAnsi="Cambria Math"/>
            </w:rPr>
            <m:t>⇔{</m:t>
          </m:r>
          <m:r>
            <w:rPr>
              <w:rFonts w:ascii="Cambria Math" w:eastAsia="Cambria Math" w:hAnsi="Cambria Math" w:cs="Cambria Math"/>
              <w:color w:val="000000"/>
              <w:highlight w:val="white"/>
            </w:rPr>
            <m:t>b=mean</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e>
          </m:d>
          <m:r>
            <w:rPr>
              <w:rFonts w:ascii="Cambria Math" w:eastAsia="Cambria Math" w:hAnsi="Cambria Math" w:cs="Cambria Math"/>
              <w:color w:val="000000"/>
              <w:highlight w:val="white"/>
            </w:rPr>
            <m:t xml:space="preserve"> - mean</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r>
            <w:rPr>
              <w:rFonts w:ascii="Cambria Math" w:eastAsia="Cambria Math" w:hAnsi="Cambria Math" w:cs="Cambria Math"/>
              <w:color w:val="000000"/>
              <w:highlight w:val="white"/>
            </w:rPr>
            <m:t>*</m:t>
          </m:r>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e>
              </m:d>
            </m:num>
            <m:den>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den>
          </m:f>
          <m:r>
            <w:rPr>
              <w:rFonts w:ascii="Cambria Math" w:hAnsi="Cambria Math"/>
            </w:rPr>
            <m:t xml:space="preserve"> </m:t>
          </m:r>
          <m:r>
            <w:rPr>
              <w:rFonts w:ascii="Cambria Math" w:eastAsia="Cambria Math" w:hAnsi="Cambria Math" w:cs="Cambria Math"/>
              <w:color w:val="000000"/>
              <w:highlight w:val="white"/>
            </w:rPr>
            <m:t>a=</m:t>
          </m:r>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e>
              </m:d>
            </m:num>
            <m:den>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den>
          </m:f>
          <m:r>
            <w:rPr>
              <w:rFonts w:ascii="Cambria Math" w:hAnsi="Cambria Math"/>
            </w:rPr>
            <m:t xml:space="preserve"> </m:t>
          </m:r>
        </m:oMath>
      </m:oMathPara>
    </w:p>
    <w:p w:rsidR="003970F3" w:rsidRDefault="001466AD">
      <w:pPr>
        <w:pBdr>
          <w:top w:val="none" w:sz="0" w:space="0" w:color="000000"/>
          <w:left w:val="none" w:sz="0" w:space="0" w:color="000000"/>
          <w:bottom w:val="none" w:sz="0" w:space="0" w:color="000000"/>
          <w:right w:val="none" w:sz="0" w:space="0" w:color="000000"/>
        </w:pBdr>
        <w:spacing w:line="360" w:lineRule="auto"/>
        <w:rPr>
          <w:color w:val="000000"/>
        </w:rPr>
      </w:pPr>
      <w:r>
        <w:rPr>
          <w:color w:val="000000"/>
        </w:rPr>
        <w:t xml:space="preserve">By combining the expressions of </w:t>
      </w:r>
      <w:proofErr w:type="spellStart"/>
      <w:proofErr w:type="gramStart"/>
      <w:r>
        <w:rPr>
          <w:color w:val="000000"/>
        </w:rPr>
        <w:t>a</w:t>
      </w:r>
      <w:proofErr w:type="spellEnd"/>
      <w:proofErr w:type="gramEnd"/>
      <w:r>
        <w:rPr>
          <w:color w:val="000000"/>
        </w:rPr>
        <w:t xml:space="preserve"> ad b, we get</w:t>
      </w:r>
    </w:p>
    <w:p w:rsidR="003970F3" w:rsidRDefault="004E6041">
      <w:pPr>
        <w:jc w:val="center"/>
        <w:rPr>
          <w:rFonts w:ascii="Cambria Math" w:eastAsia="Cambria Math" w:hAnsi="Cambria Math" w:cs="Cambria Math"/>
          <w:color w:val="000000"/>
          <w:highlight w:val="white"/>
        </w:rPr>
      </w:pPr>
      <m:oMathPara>
        <m:oMath>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rPr>
                <m:t>T</m:t>
              </m:r>
            </m:e>
            <m:sub>
              <m:r>
                <w:rPr>
                  <w:rFonts w:ascii="Cambria Math" w:eastAsia="Cambria Math" w:hAnsi="Cambria Math" w:cs="Cambria Math"/>
                  <w:color w:val="000000"/>
                  <w:vertAlign w:val="subscript"/>
                </w:rPr>
                <m:t>ec</m:t>
              </m:r>
            </m:sub>
          </m:sSub>
          <m:r>
            <w:rPr>
              <w:rFonts w:ascii="Cambria Math" w:eastAsia="Cambria Math" w:hAnsi="Cambria Math" w:cs="Cambria Math"/>
              <w:color w:val="000000"/>
              <w:highlight w:val="white"/>
            </w:rPr>
            <m:t>=</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r>
                <w:rPr>
                  <w:rFonts w:ascii="Cambria Math" w:eastAsia="Cambria Math" w:hAnsi="Cambria Math" w:cs="Cambria Math"/>
                  <w:color w:val="000000"/>
                  <w:highlight w:val="white"/>
                </w:rPr>
                <m:t>-mean</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e>
              </m:d>
              <m:r>
                <w:rPr>
                  <w:rFonts w:ascii="Cambria Math" w:eastAsia="Cambria Math" w:hAnsi="Cambria Math" w:cs="Cambria Math"/>
                  <w:color w:val="000000"/>
                  <w:highlight w:val="white"/>
                </w:rPr>
                <m:t>+mean</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r>
                <w:rPr>
                  <w:rFonts w:ascii="Cambria Math" w:eastAsia="Cambria Math" w:hAnsi="Cambria Math" w:cs="Cambria Math"/>
                  <w:color w:val="000000"/>
                  <w:highlight w:val="white"/>
                </w:rPr>
                <m:t>*</m:t>
              </m:r>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e>
                  </m:d>
                </m:num>
                <m:den>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den>
              </m:f>
            </m:e>
          </m:d>
          <m:r>
            <w:rPr>
              <w:rFonts w:ascii="Cambria Math" w:eastAsia="Cambria Math" w:hAnsi="Cambria Math" w:cs="Cambria Math"/>
              <w:color w:val="000000"/>
              <w:highlight w:val="white"/>
            </w:rPr>
            <m:t>*</m:t>
          </m:r>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num>
            <m:den>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e>
              </m:d>
            </m:den>
          </m:f>
        </m:oMath>
      </m:oMathPara>
    </w:p>
    <w:p w:rsidR="003970F3" w:rsidRDefault="001466AD">
      <w:pPr>
        <w:pBdr>
          <w:top w:val="none" w:sz="0" w:space="0" w:color="000000"/>
          <w:left w:val="none" w:sz="0" w:space="0" w:color="000000"/>
          <w:bottom w:val="none" w:sz="0" w:space="0" w:color="000000"/>
          <w:right w:val="none" w:sz="0" w:space="0" w:color="000000"/>
        </w:pBdr>
        <w:spacing w:line="360" w:lineRule="auto"/>
        <w:rPr>
          <w:color w:val="000000"/>
        </w:rPr>
      </w:pPr>
      <w:r>
        <w:rPr>
          <w:color w:val="000000"/>
        </w:rPr>
        <w:t>which can be simplified as follows:</w:t>
      </w:r>
    </w:p>
    <w:p w:rsidR="003970F3" w:rsidRDefault="004E6041">
      <w:pPr>
        <w:jc w:val="center"/>
        <w:rPr>
          <w:color w:val="000000"/>
        </w:rPr>
      </w:pPr>
      <m:oMathPara>
        <m:oMath>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rPr>
                <m:t>T</m:t>
              </m:r>
            </m:e>
            <m:sub>
              <m:r>
                <w:rPr>
                  <w:rFonts w:ascii="Cambria Math" w:eastAsia="Cambria Math" w:hAnsi="Cambria Math" w:cs="Cambria Math"/>
                  <w:color w:val="000000"/>
                  <w:vertAlign w:val="subscript"/>
                </w:rPr>
                <m:t>ec</m:t>
              </m:r>
            </m:sub>
          </m:sSub>
          <m:r>
            <w:rPr>
              <w:rFonts w:ascii="Cambria Math" w:eastAsia="Cambria Math" w:hAnsi="Cambria Math" w:cs="Cambria Math"/>
              <w:color w:val="000000"/>
              <w:highlight w:val="white"/>
            </w:rPr>
            <m:t>=</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r>
                <w:rPr>
                  <w:rFonts w:ascii="Cambria Math" w:eastAsia="Cambria Math" w:hAnsi="Cambria Math" w:cs="Cambria Math"/>
                  <w:color w:val="000000"/>
                  <w:highlight w:val="white"/>
                </w:rPr>
                <m:t>-mean</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e>
              </m:d>
            </m:e>
          </m:d>
          <m:r>
            <w:rPr>
              <w:rFonts w:ascii="Cambria Math" w:eastAsia="Cambria Math" w:hAnsi="Cambria Math" w:cs="Cambria Math"/>
              <w:color w:val="000000"/>
              <w:highlight w:val="white"/>
            </w:rPr>
            <m:t>*</m:t>
          </m:r>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num>
            <m:den>
              <m:r>
                <w:rPr>
                  <w:rFonts w:ascii="Cambria Math" w:eastAsia="Cambria Math" w:hAnsi="Cambria Math" w:cs="Cambria Math"/>
                  <w:color w:val="000000"/>
                  <w:highlight w:val="white"/>
                </w:rPr>
                <m:t>std</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e</m:t>
                      </m:r>
                    </m:sub>
                  </m:sSub>
                </m:e>
              </m:d>
            </m:den>
          </m:f>
          <m:r>
            <w:rPr>
              <w:rFonts w:ascii="Cambria Math" w:eastAsia="Cambria Math" w:hAnsi="Cambria Math" w:cs="Cambria Math"/>
              <w:color w:val="000000"/>
              <w:highlight w:val="white"/>
            </w:rPr>
            <m:t xml:space="preserve"> +mean</m:t>
          </m:r>
          <m:d>
            <m:dPr>
              <m:ctrlPr>
                <w:rPr>
                  <w:rFonts w:ascii="Cambria Math" w:eastAsia="Cambria Math" w:hAnsi="Cambria Math" w:cs="Cambria Math"/>
                  <w:color w:val="000000"/>
                  <w:highlight w:val="white"/>
                </w:rPr>
              </m:ctrlPr>
            </m:dPr>
            <m:e>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T</m:t>
                  </m:r>
                </m:e>
                <m:sub>
                  <m:r>
                    <w:rPr>
                      <w:rFonts w:ascii="Cambria Math" w:eastAsia="Cambria Math" w:hAnsi="Cambria Math" w:cs="Cambria Math"/>
                      <w:color w:val="000000"/>
                      <w:highlight w:val="white"/>
                    </w:rPr>
                    <m:t>ws</m:t>
                  </m:r>
                </m:sub>
              </m:sSub>
            </m:e>
          </m:d>
          <m:r>
            <w:rPr>
              <w:rFonts w:ascii="Cambria Math" w:eastAsia="Cambria Math" w:hAnsi="Cambria Math" w:cs="Cambria Math"/>
              <w:color w:val="000000"/>
              <w:highlight w:val="white"/>
            </w:rPr>
            <m:t xml:space="preserve"> </m:t>
          </m:r>
        </m:oMath>
      </m:oMathPara>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1466AD">
      <w:pPr>
        <w:pBdr>
          <w:top w:val="none" w:sz="0" w:space="0" w:color="000000"/>
          <w:left w:val="none" w:sz="0" w:space="0" w:color="000000"/>
          <w:bottom w:val="none" w:sz="0" w:space="0" w:color="000000"/>
          <w:right w:val="none" w:sz="0" w:space="0" w:color="000000"/>
        </w:pBdr>
        <w:spacing w:line="360" w:lineRule="auto"/>
        <w:jc w:val="both"/>
        <w:rPr>
          <w:rFonts w:ascii="Arial" w:eastAsia="Arial" w:hAnsi="Arial" w:cs="Arial"/>
          <w:i/>
          <w:color w:val="44546A"/>
          <w:sz w:val="18"/>
          <w:szCs w:val="18"/>
        </w:rPr>
      </w:pPr>
      <w:r>
        <w:lastRenderedPageBreak/>
        <w:t>Using linear regressions, we calculated hourly correction parameters (Fig. S9) and monthly correction parameters (Fig. S7 and S8) for each weather station. Then, at each measurement point, we calculated an hourly-debiased ERA5-Land temperature (used in Figure 6) and a monthly-debiased ERA5-Land temperature (used in Figure 7) as shown in Figure S6.</w:t>
      </w: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rPr>
        <w:drawing>
          <wp:inline distT="0" distB="0" distL="0" distR="0">
            <wp:extent cx="5750263" cy="3234521"/>
            <wp:effectExtent l="0" t="0" r="0" b="0"/>
            <wp:docPr id="1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750263" cy="3234521"/>
                    </a:xfrm>
                    <a:prstGeom prst="rect">
                      <a:avLst/>
                    </a:prstGeom>
                    <a:ln/>
                  </pic:spPr>
                </pic:pic>
              </a:graphicData>
            </a:graphic>
          </wp:inline>
        </w:drawing>
      </w:r>
    </w:p>
    <w:p w:rsidR="003970F3" w:rsidRDefault="001466AD">
      <w:pPr>
        <w:pBdr>
          <w:top w:val="nil"/>
          <w:left w:val="nil"/>
          <w:bottom w:val="nil"/>
          <w:right w:val="nil"/>
          <w:between w:val="nil"/>
        </w:pBdr>
        <w:spacing w:after="200" w:line="360" w:lineRule="auto"/>
        <w:jc w:val="both"/>
        <w:rPr>
          <w:color w:val="000000"/>
        </w:rPr>
      </w:pPr>
      <w:r>
        <w:rPr>
          <w:color w:val="000000"/>
        </w:rPr>
        <w:t>Figure S6. Schematic for ERA5-Land bias correction and adjustment to sensor location. The orange line represents the ERA</w:t>
      </w:r>
      <w:r>
        <w:t>5-Land grid elevation while the blue curve</w:t>
      </w:r>
      <w:r>
        <w:rPr>
          <w:color w:val="000000"/>
        </w:rPr>
        <w:t xml:space="preserve"> is the real topography.</w:t>
      </w: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color w:val="000000"/>
          <w:sz w:val="36"/>
          <w:szCs w:val="36"/>
        </w:rPr>
        <w:t> </w:t>
      </w:r>
    </w:p>
    <w:p w:rsidR="003970F3" w:rsidRDefault="004E6041">
      <w:pPr>
        <w:pBdr>
          <w:top w:val="none" w:sz="0" w:space="0" w:color="000000"/>
          <w:left w:val="none" w:sz="0" w:space="0" w:color="000000"/>
          <w:bottom w:val="none" w:sz="0" w:space="0" w:color="000000"/>
          <w:right w:val="none" w:sz="0" w:space="0" w:color="000000"/>
        </w:pBdr>
        <w:spacing w:line="360" w:lineRule="auto"/>
        <w:jc w:val="both"/>
      </w:pPr>
      <w:sdt>
        <w:sdtPr>
          <w:tag w:val="goog_rdk_13"/>
          <w:id w:val="894468019"/>
        </w:sdtPr>
        <w:sdtEndPr/>
        <w:sdtContent/>
      </w:sdt>
      <w:sdt>
        <w:sdtPr>
          <w:tag w:val="goog_rdk_14"/>
          <w:id w:val="1563290046"/>
        </w:sdtPr>
        <w:sdtEndPr/>
        <w:sdtContent/>
      </w:sdt>
      <w:r w:rsidR="001466AD">
        <w:rPr>
          <w:noProof/>
        </w:rPr>
        <w:drawing>
          <wp:inline distT="0" distB="0" distL="0" distR="0">
            <wp:extent cx="5940423" cy="3267232"/>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5940423" cy="3267232"/>
                    </a:xfrm>
                    <a:prstGeom prst="rect">
                      <a:avLst/>
                    </a:prstGeom>
                    <a:ln/>
                  </pic:spPr>
                </pic:pic>
              </a:graphicData>
            </a:graphic>
          </wp:inline>
        </w:drawing>
      </w:r>
    </w:p>
    <w:p w:rsidR="003970F3" w:rsidRDefault="001466AD">
      <w:pPr>
        <w:pBdr>
          <w:top w:val="nil"/>
          <w:left w:val="nil"/>
          <w:bottom w:val="nil"/>
          <w:right w:val="nil"/>
          <w:between w:val="nil"/>
        </w:pBdr>
        <w:spacing w:after="200" w:line="360" w:lineRule="auto"/>
        <w:jc w:val="both"/>
        <w:rPr>
          <w:color w:val="000000"/>
        </w:rPr>
      </w:pPr>
      <w:r>
        <w:rPr>
          <w:color w:val="000000"/>
        </w:rPr>
        <w:t xml:space="preserve">Figure S7. Monthly mean bias-correction in ERA5-Land temperature at four weather stations nearby forest sites. The </w:t>
      </w:r>
      <w:r>
        <w:t xml:space="preserve">ERA5-Land </w:t>
      </w:r>
      <w:r>
        <w:rPr>
          <w:color w:val="000000"/>
        </w:rPr>
        <w:t>bias-corrected temperature T</w:t>
      </w:r>
      <w:r>
        <w:rPr>
          <w:color w:val="000000"/>
          <w:vertAlign w:val="subscript"/>
        </w:rPr>
        <w:t>ec</w:t>
      </w:r>
      <w:r>
        <w:rPr>
          <w:color w:val="000000"/>
        </w:rPr>
        <w:t xml:space="preserve"> is computed over the 2018-2024 period. (a) Seasonal cycle of monthly temperatures from the weather station </w:t>
      </w:r>
      <w:proofErr w:type="spellStart"/>
      <w:r>
        <w:rPr>
          <w:color w:val="000000"/>
        </w:rPr>
        <w:t>T</w:t>
      </w:r>
      <w:r>
        <w:rPr>
          <w:color w:val="000000"/>
          <w:vertAlign w:val="subscript"/>
        </w:rPr>
        <w:t>ws</w:t>
      </w:r>
      <w:proofErr w:type="spellEnd"/>
      <w:r>
        <w:rPr>
          <w:color w:val="000000"/>
        </w:rPr>
        <w:t xml:space="preserve">, </w:t>
      </w:r>
      <w:r>
        <w:t xml:space="preserve">ERA5-Land </w:t>
      </w:r>
      <w:proofErr w:type="spellStart"/>
      <w:r>
        <w:rPr>
          <w:color w:val="000000"/>
        </w:rPr>
        <w:t>T</w:t>
      </w:r>
      <w:r>
        <w:rPr>
          <w:color w:val="000000"/>
          <w:vertAlign w:val="subscript"/>
        </w:rPr>
        <w:t>e</w:t>
      </w:r>
      <w:proofErr w:type="spellEnd"/>
      <w:r>
        <w:rPr>
          <w:color w:val="000000"/>
        </w:rPr>
        <w:t xml:space="preserve"> and </w:t>
      </w:r>
      <w:r>
        <w:t xml:space="preserve">ERA5-Land </w:t>
      </w:r>
      <w:r>
        <w:rPr>
          <w:color w:val="000000"/>
        </w:rPr>
        <w:t>bias-corrected T</w:t>
      </w:r>
      <w:r>
        <w:rPr>
          <w:color w:val="000000"/>
          <w:vertAlign w:val="subscript"/>
        </w:rPr>
        <w:t>ec</w:t>
      </w:r>
      <w:r>
        <w:t xml:space="preserve"> (a and b correction parameters are displayed)</w:t>
      </w:r>
      <w:r>
        <w:rPr>
          <w:color w:val="000000"/>
        </w:rPr>
        <w:t xml:space="preserve"> (b) Scatterplot of </w:t>
      </w:r>
      <w:proofErr w:type="spellStart"/>
      <w:r>
        <w:rPr>
          <w:color w:val="000000"/>
        </w:rPr>
        <w:t>T</w:t>
      </w:r>
      <w:r>
        <w:rPr>
          <w:color w:val="000000"/>
          <w:vertAlign w:val="subscript"/>
        </w:rPr>
        <w:t>e</w:t>
      </w:r>
      <w:proofErr w:type="spellEnd"/>
      <w:r>
        <w:rPr>
          <w:color w:val="000000"/>
          <w:vertAlign w:val="subscript"/>
        </w:rPr>
        <w:t xml:space="preserve"> </w:t>
      </w:r>
      <w:r>
        <w:rPr>
          <w:color w:val="000000"/>
        </w:rPr>
        <w:t xml:space="preserve">against </w:t>
      </w:r>
      <w:proofErr w:type="spellStart"/>
      <w:r>
        <w:rPr>
          <w:color w:val="000000"/>
        </w:rPr>
        <w:t>T</w:t>
      </w:r>
      <w:r>
        <w:rPr>
          <w:color w:val="000000"/>
          <w:vertAlign w:val="subscript"/>
        </w:rPr>
        <w:t>ws</w:t>
      </w:r>
      <w:proofErr w:type="spellEnd"/>
      <w:r>
        <w:rPr>
          <w:color w:val="000000"/>
        </w:rPr>
        <w:t>. (c) Scatterplot of T</w:t>
      </w:r>
      <w:r>
        <w:rPr>
          <w:color w:val="000000"/>
          <w:vertAlign w:val="subscript"/>
        </w:rPr>
        <w:t xml:space="preserve">ec </w:t>
      </w:r>
      <w:r>
        <w:rPr>
          <w:color w:val="000000"/>
        </w:rPr>
        <w:t xml:space="preserve">against </w:t>
      </w:r>
      <w:proofErr w:type="spellStart"/>
      <w:r>
        <w:rPr>
          <w:color w:val="000000"/>
        </w:rPr>
        <w:t>T</w:t>
      </w:r>
      <w:r>
        <w:rPr>
          <w:color w:val="000000"/>
          <w:vertAlign w:val="subscript"/>
        </w:rPr>
        <w:t>ws</w:t>
      </w:r>
      <w:proofErr w:type="spellEnd"/>
      <w:r>
        <w:rPr>
          <w:color w:val="000000"/>
        </w:rPr>
        <w:t xml:space="preserve">. The regression </w:t>
      </w:r>
      <w:r>
        <w:t>line</w:t>
      </w:r>
      <w:r>
        <w:rPr>
          <w:color w:val="000000"/>
        </w:rPr>
        <w:t xml:space="preserve"> is shown in red. The bias correction allows to realign the data with the 1 :1 slope.</w:t>
      </w:r>
    </w:p>
    <w:p w:rsidR="003970F3" w:rsidRDefault="001466AD">
      <w:pPr>
        <w:spacing w:after="200" w:line="360" w:lineRule="auto"/>
        <w:jc w:val="both"/>
      </w:pPr>
      <w:r>
        <w:rPr>
          <w:noProof/>
        </w:rPr>
        <w:drawing>
          <wp:inline distT="114300" distB="114300" distL="114300" distR="114300">
            <wp:extent cx="5939480" cy="3263900"/>
            <wp:effectExtent l="0" t="0" r="0" b="0"/>
            <wp:docPr id="10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939480" cy="3263900"/>
                    </a:xfrm>
                    <a:prstGeom prst="rect">
                      <a:avLst/>
                    </a:prstGeom>
                    <a:ln/>
                  </pic:spPr>
                </pic:pic>
              </a:graphicData>
            </a:graphic>
          </wp:inline>
        </w:drawing>
      </w:r>
      <w:r>
        <w:t>Figure S8. Monthly max (95th percentile) bias-correction in ERA5-Land temperature at four weather stations nearby forest sites. The ERA5-Land bias-corrected temperature T</w:t>
      </w:r>
      <w:r>
        <w:rPr>
          <w:vertAlign w:val="subscript"/>
        </w:rPr>
        <w:t>ec</w:t>
      </w:r>
      <w:r>
        <w:t xml:space="preserve"> is computed over the 2018-2024 period. (a) Seasonal cycle of monthly temperatures from the weather station </w:t>
      </w:r>
      <w:proofErr w:type="spellStart"/>
      <w:r>
        <w:lastRenderedPageBreak/>
        <w:t>T</w:t>
      </w:r>
      <w:r>
        <w:rPr>
          <w:vertAlign w:val="subscript"/>
        </w:rPr>
        <w:t>ws</w:t>
      </w:r>
      <w:proofErr w:type="spellEnd"/>
      <w:r>
        <w:t xml:space="preserve">, ERA5-Land </w:t>
      </w:r>
      <w:proofErr w:type="spellStart"/>
      <w:r>
        <w:t>T</w:t>
      </w:r>
      <w:r>
        <w:rPr>
          <w:vertAlign w:val="subscript"/>
        </w:rPr>
        <w:t>e</w:t>
      </w:r>
      <w:proofErr w:type="spellEnd"/>
      <w:r>
        <w:t xml:space="preserve"> and ERA5-Land bias-corrected T</w:t>
      </w:r>
      <w:r>
        <w:rPr>
          <w:vertAlign w:val="subscript"/>
        </w:rPr>
        <w:t>ec</w:t>
      </w:r>
      <w:r>
        <w:t xml:space="preserve"> (a and b correction parameters are displayed) (b) Scatterplot of </w:t>
      </w:r>
      <w:proofErr w:type="spellStart"/>
      <w:r>
        <w:t>T</w:t>
      </w:r>
      <w:r>
        <w:rPr>
          <w:vertAlign w:val="subscript"/>
        </w:rPr>
        <w:t>e</w:t>
      </w:r>
      <w:proofErr w:type="spellEnd"/>
      <w:r>
        <w:rPr>
          <w:vertAlign w:val="subscript"/>
        </w:rPr>
        <w:t xml:space="preserve"> </w:t>
      </w:r>
      <w:r>
        <w:t xml:space="preserve">against </w:t>
      </w:r>
      <w:proofErr w:type="spellStart"/>
      <w:r>
        <w:t>T</w:t>
      </w:r>
      <w:r>
        <w:rPr>
          <w:vertAlign w:val="subscript"/>
        </w:rPr>
        <w:t>ws</w:t>
      </w:r>
      <w:proofErr w:type="spellEnd"/>
      <w:r>
        <w:t>. (c) Scatterplot of T</w:t>
      </w:r>
      <w:r>
        <w:rPr>
          <w:vertAlign w:val="subscript"/>
        </w:rPr>
        <w:t xml:space="preserve">ec </w:t>
      </w:r>
      <w:r>
        <w:t xml:space="preserve">against </w:t>
      </w:r>
      <w:proofErr w:type="spellStart"/>
      <w:r>
        <w:t>T</w:t>
      </w:r>
      <w:r>
        <w:rPr>
          <w:vertAlign w:val="subscript"/>
        </w:rPr>
        <w:t>ws</w:t>
      </w:r>
      <w:proofErr w:type="spellEnd"/>
      <w:r>
        <w:t>. The regression line is shown in red. The bias correction allows to realign the data with the 1 :1 slope.</w:t>
      </w: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rPr>
        <w:drawing>
          <wp:inline distT="0" distB="0" distL="0" distR="0">
            <wp:extent cx="5940423" cy="3267231"/>
            <wp:effectExtent l="0" t="0" r="0" b="0"/>
            <wp:docPr id="1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5940423" cy="3267231"/>
                    </a:xfrm>
                    <a:prstGeom prst="rect">
                      <a:avLst/>
                    </a:prstGeom>
                    <a:ln/>
                  </pic:spPr>
                </pic:pic>
              </a:graphicData>
            </a:graphic>
          </wp:inline>
        </w:drawing>
      </w:r>
    </w:p>
    <w:p w:rsidR="003970F3" w:rsidRDefault="001466AD">
      <w:pPr>
        <w:pBdr>
          <w:top w:val="nil"/>
          <w:left w:val="nil"/>
          <w:bottom w:val="nil"/>
          <w:right w:val="nil"/>
          <w:between w:val="nil"/>
        </w:pBdr>
        <w:spacing w:after="200" w:line="360" w:lineRule="auto"/>
        <w:jc w:val="both"/>
        <w:rPr>
          <w:i/>
          <w:color w:val="44546A"/>
          <w:sz w:val="18"/>
          <w:szCs w:val="18"/>
        </w:rPr>
      </w:pPr>
      <w:r>
        <w:rPr>
          <w:color w:val="000000"/>
        </w:rPr>
        <w:t>Figure S</w:t>
      </w:r>
      <w:r>
        <w:t>9</w:t>
      </w:r>
      <w:r>
        <w:rPr>
          <w:color w:val="000000"/>
        </w:rPr>
        <w:t xml:space="preserve">. Hourly mean bias-correction in ERA5-Land temperature at four weather stations nearby forest sites. The </w:t>
      </w:r>
      <w:r>
        <w:t xml:space="preserve">ERA5-Land </w:t>
      </w:r>
      <w:r>
        <w:rPr>
          <w:color w:val="000000"/>
        </w:rPr>
        <w:t>bias-corrected temperature T</w:t>
      </w:r>
      <w:r>
        <w:rPr>
          <w:color w:val="000000"/>
          <w:vertAlign w:val="subscript"/>
        </w:rPr>
        <w:t>ec</w:t>
      </w:r>
      <w:r>
        <w:rPr>
          <w:color w:val="000000"/>
        </w:rPr>
        <w:t xml:space="preserve"> is computed over the 2018-2024 period. (a) </w:t>
      </w:r>
      <w:r>
        <w:t>Daily</w:t>
      </w:r>
      <w:r>
        <w:rPr>
          <w:color w:val="000000"/>
        </w:rPr>
        <w:t xml:space="preserve"> cycle of </w:t>
      </w:r>
      <w:r>
        <w:t>hourly</w:t>
      </w:r>
      <w:r>
        <w:rPr>
          <w:color w:val="000000"/>
        </w:rPr>
        <w:t xml:space="preserve"> temperatures from the weather station </w:t>
      </w:r>
      <w:proofErr w:type="spellStart"/>
      <w:r>
        <w:rPr>
          <w:color w:val="000000"/>
        </w:rPr>
        <w:t>T</w:t>
      </w:r>
      <w:r>
        <w:rPr>
          <w:color w:val="000000"/>
          <w:vertAlign w:val="subscript"/>
        </w:rPr>
        <w:t>ws</w:t>
      </w:r>
      <w:proofErr w:type="spellEnd"/>
      <w:r>
        <w:rPr>
          <w:color w:val="000000"/>
        </w:rPr>
        <w:t xml:space="preserve">, </w:t>
      </w:r>
      <w:r>
        <w:t xml:space="preserve">ERA5-Land </w:t>
      </w:r>
      <w:proofErr w:type="spellStart"/>
      <w:r>
        <w:rPr>
          <w:color w:val="000000"/>
        </w:rPr>
        <w:t>T</w:t>
      </w:r>
      <w:r>
        <w:rPr>
          <w:color w:val="000000"/>
          <w:vertAlign w:val="subscript"/>
        </w:rPr>
        <w:t>e</w:t>
      </w:r>
      <w:proofErr w:type="spellEnd"/>
      <w:r>
        <w:rPr>
          <w:color w:val="000000"/>
        </w:rPr>
        <w:t xml:space="preserve"> and </w:t>
      </w:r>
      <w:r>
        <w:t xml:space="preserve">ERA5-Land </w:t>
      </w:r>
      <w:r>
        <w:rPr>
          <w:color w:val="000000"/>
        </w:rPr>
        <w:t>bias-corrected T</w:t>
      </w:r>
      <w:r>
        <w:rPr>
          <w:color w:val="000000"/>
          <w:vertAlign w:val="subscript"/>
        </w:rPr>
        <w:t>ec</w:t>
      </w:r>
      <w:r>
        <w:t xml:space="preserve"> (a and b correction parameters are displayed).</w:t>
      </w:r>
      <w:r>
        <w:rPr>
          <w:color w:val="000000"/>
        </w:rPr>
        <w:t xml:space="preserve"> (b) Scatterplot of </w:t>
      </w:r>
      <w:proofErr w:type="spellStart"/>
      <w:r>
        <w:rPr>
          <w:color w:val="000000"/>
        </w:rPr>
        <w:t>T</w:t>
      </w:r>
      <w:r>
        <w:rPr>
          <w:color w:val="000000"/>
          <w:vertAlign w:val="subscript"/>
        </w:rPr>
        <w:t>e</w:t>
      </w:r>
      <w:proofErr w:type="spellEnd"/>
      <w:r>
        <w:rPr>
          <w:color w:val="000000"/>
          <w:vertAlign w:val="subscript"/>
        </w:rPr>
        <w:t xml:space="preserve"> </w:t>
      </w:r>
      <w:r>
        <w:rPr>
          <w:color w:val="000000"/>
        </w:rPr>
        <w:t xml:space="preserve">against </w:t>
      </w:r>
      <w:proofErr w:type="spellStart"/>
      <w:r>
        <w:rPr>
          <w:color w:val="000000"/>
        </w:rPr>
        <w:t>T</w:t>
      </w:r>
      <w:r>
        <w:rPr>
          <w:color w:val="000000"/>
          <w:vertAlign w:val="subscript"/>
        </w:rPr>
        <w:t>ws</w:t>
      </w:r>
      <w:proofErr w:type="spellEnd"/>
      <w:r>
        <w:rPr>
          <w:color w:val="000000"/>
        </w:rPr>
        <w:t>. (c) Scatterplot of T</w:t>
      </w:r>
      <w:r>
        <w:rPr>
          <w:color w:val="000000"/>
          <w:vertAlign w:val="subscript"/>
        </w:rPr>
        <w:t xml:space="preserve">ec </w:t>
      </w:r>
      <w:r>
        <w:rPr>
          <w:color w:val="000000"/>
        </w:rPr>
        <w:t xml:space="preserve">against </w:t>
      </w:r>
      <w:proofErr w:type="spellStart"/>
      <w:r>
        <w:rPr>
          <w:color w:val="000000"/>
        </w:rPr>
        <w:t>T</w:t>
      </w:r>
      <w:r>
        <w:rPr>
          <w:color w:val="000000"/>
          <w:vertAlign w:val="subscript"/>
        </w:rPr>
        <w:t>ws</w:t>
      </w:r>
      <w:proofErr w:type="spellEnd"/>
      <w:r>
        <w:rPr>
          <w:color w:val="000000"/>
        </w:rPr>
        <w:t xml:space="preserve">. The regression </w:t>
      </w:r>
      <w:r>
        <w:t>line</w:t>
      </w:r>
      <w:r>
        <w:rPr>
          <w:color w:val="000000"/>
        </w:rPr>
        <w:t xml:space="preserve"> is shown in red. The bias correction allows to realign the data with the 1 :1 slope.</w:t>
      </w:r>
    </w:p>
    <w:p w:rsidR="003970F3" w:rsidRDefault="003970F3">
      <w:pPr>
        <w:pBdr>
          <w:top w:val="nil"/>
          <w:left w:val="nil"/>
          <w:bottom w:val="nil"/>
          <w:right w:val="nil"/>
          <w:between w:val="nil"/>
        </w:pBdr>
        <w:spacing w:after="200" w:line="360" w:lineRule="auto"/>
        <w:jc w:val="both"/>
        <w:rPr>
          <w:i/>
          <w:color w:val="44546A"/>
          <w:sz w:val="18"/>
          <w:szCs w:val="18"/>
        </w:rPr>
      </w:pPr>
    </w:p>
    <w:sdt>
      <w:sdtPr>
        <w:tag w:val="goog_rdk_15"/>
        <w:id w:val="857390116"/>
        <w:lock w:val="contentLocked"/>
      </w:sdtPr>
      <w:sdtEndPr/>
      <w:sdtContent>
        <w:tbl>
          <w:tblPr>
            <w:tblStyle w:val="a0"/>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1635"/>
            <w:gridCol w:w="1860"/>
            <w:gridCol w:w="1860"/>
            <w:gridCol w:w="1860"/>
          </w:tblGrid>
          <w:tr w:rsidR="003970F3">
            <w:tc>
              <w:tcPr>
                <w:tcW w:w="2085"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rPr>
                    <w:b/>
                  </w:rPr>
                </w:pPr>
                <w:r>
                  <w:rPr>
                    <w:b/>
                  </w:rPr>
                  <w:t>Forest site</w:t>
                </w:r>
              </w:p>
            </w:tc>
            <w:tc>
              <w:tcPr>
                <w:tcW w:w="1635"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Laussat</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Paracou</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Nouragues</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Itoupé</w:t>
                </w:r>
              </w:p>
            </w:tc>
          </w:tr>
          <w:tr w:rsidR="003970F3">
            <w:tc>
              <w:tcPr>
                <w:tcW w:w="2085"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rPr>
                    <w:b/>
                  </w:rPr>
                </w:pPr>
                <w:r>
                  <w:rPr>
                    <w:b/>
                  </w:rPr>
                  <w:t>Nearby weather station</w:t>
                </w:r>
              </w:p>
            </w:tc>
            <w:tc>
              <w:tcPr>
                <w:tcW w:w="1635"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Saint-Laurent du Maroni</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Kourou-CSG</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Cayenne-Matoury</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Saül</w:t>
                </w:r>
              </w:p>
            </w:tc>
          </w:tr>
          <w:tr w:rsidR="003970F3">
            <w:trPr>
              <w:trHeight w:val="1439"/>
            </w:trPr>
            <w:tc>
              <w:tcPr>
                <w:tcW w:w="2085"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rPr>
                    <w:b/>
                  </w:rPr>
                </w:pPr>
                <w:r>
                  <w:rPr>
                    <w:b/>
                  </w:rPr>
                  <w:t>Distance between forest site and weather station (km)</w:t>
                </w:r>
              </w:p>
            </w:tc>
            <w:tc>
              <w:tcPr>
                <w:tcW w:w="1635"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50</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21</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92</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68</w:t>
                </w:r>
              </w:p>
            </w:tc>
          </w:tr>
          <w:tr w:rsidR="003970F3">
            <w:tc>
              <w:tcPr>
                <w:tcW w:w="2085"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rPr>
                    <w:b/>
                  </w:rPr>
                </w:pPr>
                <w:r>
                  <w:rPr>
                    <w:b/>
                  </w:rPr>
                  <w:t>a (monthly mean)</w:t>
                </w:r>
              </w:p>
            </w:tc>
            <w:tc>
              <w:tcPr>
                <w:tcW w:w="1635"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1.07</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1.29</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1.31</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1.45</w:t>
                </w:r>
              </w:p>
            </w:tc>
          </w:tr>
          <w:tr w:rsidR="003970F3">
            <w:tc>
              <w:tcPr>
                <w:tcW w:w="2085" w:type="dxa"/>
                <w:vAlign w:val="center"/>
              </w:tcPr>
              <w:p w:rsidR="003970F3" w:rsidRDefault="001466AD">
                <w:pPr>
                  <w:pBdr>
                    <w:top w:val="none" w:sz="0" w:space="0" w:color="000000"/>
                    <w:left w:val="none" w:sz="0" w:space="0" w:color="000000"/>
                    <w:bottom w:val="none" w:sz="0" w:space="0" w:color="000000"/>
                    <w:right w:val="none" w:sz="0" w:space="0" w:color="000000"/>
                  </w:pBdr>
                  <w:tabs>
                    <w:tab w:val="center" w:pos="827"/>
                  </w:tabs>
                  <w:spacing w:line="360" w:lineRule="auto"/>
                  <w:jc w:val="center"/>
                  <w:rPr>
                    <w:b/>
                  </w:rPr>
                </w:pPr>
                <w:r>
                  <w:rPr>
                    <w:b/>
                  </w:rPr>
                  <w:lastRenderedPageBreak/>
                  <w:t>b (monthly mean)</w:t>
                </w:r>
              </w:p>
            </w:tc>
            <w:tc>
              <w:tcPr>
                <w:tcW w:w="1635" w:type="dxa"/>
                <w:tcBorders>
                  <w:right w:val="single" w:sz="6" w:space="0" w:color="000000"/>
                </w:tcBorders>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-2.51</w:t>
                </w:r>
              </w:p>
            </w:tc>
            <w:tc>
              <w:tcPr>
                <w:tcW w:w="1860" w:type="dxa"/>
                <w:tcBorders>
                  <w:right w:val="single" w:sz="6" w:space="0" w:color="000000"/>
                </w:tcBorders>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-8.42</w:t>
                </w:r>
              </w:p>
            </w:tc>
            <w:tc>
              <w:tcPr>
                <w:tcW w:w="1860" w:type="dxa"/>
                <w:tcBorders>
                  <w:right w:val="single" w:sz="6" w:space="0" w:color="000000"/>
                </w:tcBorders>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-8.87</w:t>
                </w:r>
              </w:p>
            </w:tc>
            <w:tc>
              <w:tcPr>
                <w:tcW w:w="1860" w:type="dxa"/>
                <w:tcBorders>
                  <w:right w:val="single" w:sz="6" w:space="0" w:color="000000"/>
                </w:tcBorders>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-11.33</w:t>
                </w:r>
              </w:p>
            </w:tc>
          </w:tr>
          <w:tr w:rsidR="003970F3">
            <w:tc>
              <w:tcPr>
                <w:tcW w:w="2085" w:type="dxa"/>
                <w:vAlign w:val="center"/>
              </w:tcPr>
              <w:p w:rsidR="003970F3" w:rsidRDefault="001466AD">
                <w:pPr>
                  <w:pBdr>
                    <w:top w:val="none" w:sz="0" w:space="0" w:color="000000"/>
                    <w:left w:val="none" w:sz="0" w:space="0" w:color="000000"/>
                    <w:bottom w:val="none" w:sz="0" w:space="0" w:color="000000"/>
                    <w:right w:val="none" w:sz="0" w:space="0" w:color="000000"/>
                  </w:pBdr>
                  <w:tabs>
                    <w:tab w:val="center" w:pos="827"/>
                  </w:tabs>
                  <w:spacing w:line="360" w:lineRule="auto"/>
                  <w:jc w:val="center"/>
                  <w:rPr>
                    <w:b/>
                  </w:rPr>
                </w:pPr>
                <w:r>
                  <w:rPr>
                    <w:b/>
                  </w:rPr>
                  <w:t>a (monthly max)</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0.93</w:t>
                </w:r>
              </w:p>
            </w:tc>
            <w:tc>
              <w:tcPr>
                <w:tcW w:w="18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1.0</w:t>
                </w:r>
              </w:p>
            </w:tc>
            <w:tc>
              <w:tcPr>
                <w:tcW w:w="18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1.29</w:t>
                </w:r>
              </w:p>
            </w:tc>
            <w:tc>
              <w:tcPr>
                <w:tcW w:w="18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1.55</w:t>
                </w:r>
              </w:p>
            </w:tc>
          </w:tr>
          <w:tr w:rsidR="003970F3">
            <w:tc>
              <w:tcPr>
                <w:tcW w:w="2085" w:type="dxa"/>
                <w:vAlign w:val="center"/>
              </w:tcPr>
              <w:p w:rsidR="003970F3" w:rsidRDefault="001466AD">
                <w:pPr>
                  <w:pBdr>
                    <w:top w:val="none" w:sz="0" w:space="0" w:color="000000"/>
                    <w:left w:val="none" w:sz="0" w:space="0" w:color="000000"/>
                    <w:bottom w:val="none" w:sz="0" w:space="0" w:color="000000"/>
                    <w:right w:val="none" w:sz="0" w:space="0" w:color="000000"/>
                  </w:pBdr>
                  <w:tabs>
                    <w:tab w:val="center" w:pos="827"/>
                  </w:tabs>
                  <w:spacing w:line="360" w:lineRule="auto"/>
                  <w:jc w:val="center"/>
                  <w:rPr>
                    <w:b/>
                  </w:rPr>
                </w:pPr>
                <w:r>
                  <w:rPr>
                    <w:b/>
                  </w:rPr>
                  <w:t>b (monthly max)</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-0.12</w:t>
                </w:r>
              </w:p>
            </w:tc>
            <w:tc>
              <w:tcPr>
                <w:tcW w:w="18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-2.04</w:t>
                </w:r>
              </w:p>
            </w:tc>
            <w:tc>
              <w:tcPr>
                <w:tcW w:w="18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-10.02</w:t>
                </w:r>
              </w:p>
            </w:tc>
            <w:tc>
              <w:tcPr>
                <w:tcW w:w="18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-17.18</w:t>
                </w:r>
              </w:p>
            </w:tc>
          </w:tr>
          <w:tr w:rsidR="003970F3">
            <w:tc>
              <w:tcPr>
                <w:tcW w:w="2085"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rPr>
                    <w:b/>
                  </w:rPr>
                </w:pPr>
                <w:r>
                  <w:rPr>
                    <w:b/>
                  </w:rPr>
                  <w:t>a (hourly mean)</w:t>
                </w:r>
              </w:p>
            </w:tc>
            <w:tc>
              <w:tcPr>
                <w:tcW w:w="1635" w:type="dxa"/>
                <w:shd w:val="clear" w:color="auto" w:fill="auto"/>
                <w:tcMar>
                  <w:top w:w="100" w:type="dxa"/>
                  <w:left w:w="100" w:type="dxa"/>
                  <w:bottom w:w="100" w:type="dxa"/>
                  <w:right w:w="100" w:type="dxa"/>
                </w:tcMar>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0.69</w:t>
                </w:r>
              </w:p>
            </w:tc>
            <w:tc>
              <w:tcPr>
                <w:tcW w:w="1860" w:type="dxa"/>
                <w:tcBorders>
                  <w:left w:val="single" w:sz="6" w:space="0" w:color="000000"/>
                </w:tcBorders>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0.65</w:t>
                </w:r>
              </w:p>
            </w:tc>
            <w:tc>
              <w:tcPr>
                <w:tcW w:w="1860" w:type="dxa"/>
                <w:tcBorders>
                  <w:left w:val="single" w:sz="6" w:space="0" w:color="000000"/>
                </w:tcBorders>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0.87</w:t>
                </w:r>
              </w:p>
            </w:tc>
            <w:tc>
              <w:tcPr>
                <w:tcW w:w="1860" w:type="dxa"/>
                <w:tcBorders>
                  <w:left w:val="single" w:sz="6" w:space="0" w:color="000000"/>
                </w:tcBorders>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0.97</w:t>
                </w:r>
              </w:p>
            </w:tc>
          </w:tr>
          <w:tr w:rsidR="003970F3">
            <w:trPr>
              <w:trHeight w:val="495"/>
            </w:trPr>
            <w:tc>
              <w:tcPr>
                <w:tcW w:w="2085"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rPr>
                    <w:b/>
                  </w:rPr>
                </w:pPr>
                <w:r>
                  <w:rPr>
                    <w:b/>
                  </w:rPr>
                  <w:t>b (hourly mean)</w:t>
                </w:r>
              </w:p>
            </w:tc>
            <w:tc>
              <w:tcPr>
                <w:tcW w:w="1635" w:type="dxa"/>
                <w:shd w:val="clear" w:color="auto" w:fill="auto"/>
                <w:tcMar>
                  <w:top w:w="100" w:type="dxa"/>
                  <w:left w:w="100" w:type="dxa"/>
                  <w:bottom w:w="100" w:type="dxa"/>
                  <w:right w:w="100" w:type="dxa"/>
                </w:tcMar>
                <w:vAlign w:val="center"/>
              </w:tcPr>
              <w:p w:rsidR="003970F3" w:rsidRDefault="001466AD">
                <w:pPr>
                  <w:widowControl w:val="0"/>
                  <w:pBdr>
                    <w:top w:val="nil"/>
                    <w:left w:val="nil"/>
                    <w:bottom w:val="nil"/>
                    <w:right w:val="nil"/>
                    <w:between w:val="nil"/>
                  </w:pBdr>
                  <w:jc w:val="center"/>
                </w:pPr>
                <w:r>
                  <w:t>7.56</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8.72</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2.90</w:t>
                </w:r>
              </w:p>
            </w:tc>
            <w:tc>
              <w:tcPr>
                <w:tcW w:w="1860" w:type="dxa"/>
                <w:vAlign w:val="center"/>
              </w:tcPr>
              <w:p w:rsidR="003970F3" w:rsidRDefault="001466AD">
                <w:pPr>
                  <w:pBdr>
                    <w:top w:val="none" w:sz="0" w:space="0" w:color="000000"/>
                    <w:left w:val="none" w:sz="0" w:space="0" w:color="000000"/>
                    <w:bottom w:val="none" w:sz="0" w:space="0" w:color="000000"/>
                    <w:right w:val="none" w:sz="0" w:space="0" w:color="000000"/>
                  </w:pBdr>
                  <w:spacing w:line="360" w:lineRule="auto"/>
                  <w:jc w:val="center"/>
                </w:pPr>
                <w:r>
                  <w:t>0.63</w:t>
                </w:r>
              </w:p>
            </w:tc>
          </w:tr>
        </w:tbl>
      </w:sdtContent>
    </w:sdt>
    <w:p w:rsidR="003970F3" w:rsidRDefault="001466AD">
      <w:pPr>
        <w:spacing w:after="200" w:line="360" w:lineRule="auto"/>
        <w:jc w:val="both"/>
      </w:pPr>
      <w:r>
        <w:t xml:space="preserve">Table TS4. ERA5-Land hourly and monthly correction parameters a and b for mean and maximum temperatures defined at nearby weather station over the 2018-2024 temperature record such that </w:t>
      </w:r>
      <m:oMath>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ec</m:t>
            </m:r>
          </m:sub>
        </m:sSub>
        <m:r>
          <w:rPr>
            <w:rFonts w:ascii="Cambria Math" w:eastAsia="Cambria Math" w:hAnsi="Cambria Math" w:cs="Cambria Math"/>
          </w:rPr>
          <m:t>=</m:t>
        </m:r>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e</m:t>
                </m:r>
              </m:sub>
            </m:sSub>
            <m:r>
              <w:rPr>
                <w:rFonts w:ascii="Cambria Math" w:eastAsia="Cambria Math" w:hAnsi="Cambria Math" w:cs="Cambria Math"/>
              </w:rPr>
              <m:t>-b</m:t>
            </m:r>
          </m:e>
        </m:d>
        <m:r>
          <w:rPr>
            <w:rFonts w:ascii="Cambria Math" w:eastAsia="Cambria Math" w:hAnsi="Cambria Math" w:cs="Cambria Math"/>
          </w:rPr>
          <m:t>/a</m:t>
        </m:r>
      </m:oMath>
    </w:p>
    <w:p w:rsidR="003970F3" w:rsidRDefault="003970F3">
      <w:pPr>
        <w:spacing w:after="200" w:line="360" w:lineRule="auto"/>
        <w:jc w:val="both"/>
      </w:pPr>
    </w:p>
    <w:p w:rsidR="003970F3" w:rsidRDefault="003970F3">
      <w:pPr>
        <w:spacing w:after="200" w:line="360" w:lineRule="auto"/>
        <w:jc w:val="both"/>
      </w:pPr>
    </w:p>
    <w:p w:rsidR="003970F3" w:rsidRDefault="003970F3">
      <w:pPr>
        <w:spacing w:after="200" w:line="360" w:lineRule="auto"/>
        <w:jc w:val="both"/>
      </w:pPr>
    </w:p>
    <w:p w:rsidR="003970F3" w:rsidRDefault="003970F3">
      <w:pPr>
        <w:spacing w:after="200" w:line="360" w:lineRule="auto"/>
        <w:jc w:val="both"/>
      </w:pPr>
    </w:p>
    <w:p w:rsidR="003970F3" w:rsidRDefault="003970F3">
      <w:pPr>
        <w:spacing w:after="200" w:line="360" w:lineRule="auto"/>
        <w:jc w:val="both"/>
      </w:pPr>
    </w:p>
    <w:p w:rsidR="003970F3" w:rsidRDefault="003970F3">
      <w:pPr>
        <w:spacing w:after="200" w:line="360" w:lineRule="auto"/>
        <w:jc w:val="both"/>
      </w:pPr>
    </w:p>
    <w:p w:rsidR="003970F3" w:rsidRDefault="001466AD">
      <w:pPr>
        <w:numPr>
          <w:ilvl w:val="0"/>
          <w:numId w:val="2"/>
        </w:numPr>
        <w:pBdr>
          <w:top w:val="nil"/>
          <w:left w:val="nil"/>
          <w:bottom w:val="nil"/>
          <w:right w:val="nil"/>
          <w:between w:val="nil"/>
        </w:pBdr>
        <w:spacing w:line="276" w:lineRule="auto"/>
        <w:rPr>
          <w:color w:val="000000"/>
          <w:sz w:val="36"/>
          <w:szCs w:val="36"/>
        </w:rPr>
      </w:pPr>
      <w:r>
        <w:rPr>
          <w:sz w:val="36"/>
          <w:szCs w:val="36"/>
        </w:rPr>
        <w:t>Temperature offset</w:t>
      </w:r>
    </w:p>
    <w:p w:rsidR="003970F3" w:rsidRDefault="001466AD">
      <w:pPr>
        <w:pBdr>
          <w:top w:val="nil"/>
          <w:left w:val="nil"/>
          <w:bottom w:val="nil"/>
          <w:right w:val="nil"/>
          <w:between w:val="nil"/>
        </w:pBdr>
        <w:spacing w:line="276" w:lineRule="auto"/>
        <w:ind w:left="1080"/>
        <w:rPr>
          <w:sz w:val="36"/>
          <w:szCs w:val="36"/>
        </w:rPr>
      </w:pPr>
      <w:r>
        <w:rPr>
          <w:sz w:val="36"/>
          <w:szCs w:val="36"/>
        </w:rPr>
        <w:t xml:space="preserve"> </w:t>
      </w:r>
    </w:p>
    <w:p w:rsidR="003970F3" w:rsidRDefault="001466AD">
      <w:pPr>
        <w:pBdr>
          <w:top w:val="nil"/>
          <w:left w:val="nil"/>
          <w:bottom w:val="nil"/>
          <w:right w:val="nil"/>
          <w:between w:val="nil"/>
        </w:pBdr>
        <w:spacing w:line="276" w:lineRule="auto"/>
      </w:pPr>
      <w:r>
        <w:rPr>
          <w:noProof/>
        </w:rPr>
        <w:drawing>
          <wp:inline distT="114300" distB="114300" distL="114300" distR="114300">
            <wp:extent cx="5939480" cy="2400300"/>
            <wp:effectExtent l="0" t="0" r="0" b="0"/>
            <wp:docPr id="1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939480" cy="2400300"/>
                    </a:xfrm>
                    <a:prstGeom prst="rect">
                      <a:avLst/>
                    </a:prstGeom>
                    <a:ln/>
                  </pic:spPr>
                </pic:pic>
              </a:graphicData>
            </a:graphic>
          </wp:inline>
        </w:drawing>
      </w:r>
      <w:r>
        <w:t xml:space="preserve">Table TS5. Offset for monthly mean and maximum air temperature (°C) and their corresponding trend (°C/year) over the 2018-2024 period. </w:t>
      </w:r>
    </w:p>
    <w:p w:rsidR="003970F3" w:rsidRDefault="003970F3">
      <w:pPr>
        <w:pBdr>
          <w:top w:val="nil"/>
          <w:left w:val="nil"/>
          <w:bottom w:val="nil"/>
          <w:right w:val="nil"/>
          <w:between w:val="nil"/>
        </w:pBdr>
        <w:spacing w:line="276" w:lineRule="auto"/>
      </w:pPr>
    </w:p>
    <w:p w:rsidR="003970F3" w:rsidRDefault="001466AD">
      <w:pPr>
        <w:spacing w:after="200" w:line="360" w:lineRule="auto"/>
        <w:jc w:val="both"/>
      </w:pPr>
      <w:r>
        <w:rPr>
          <w:noProof/>
        </w:rPr>
        <w:lastRenderedPageBreak/>
        <w:drawing>
          <wp:inline distT="114300" distB="114300" distL="114300" distR="114300">
            <wp:extent cx="5939480" cy="2222500"/>
            <wp:effectExtent l="0" t="0" r="0" b="0"/>
            <wp:docPr id="1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t="107" b="107"/>
                    <a:stretch>
                      <a:fillRect/>
                    </a:stretch>
                  </pic:blipFill>
                  <pic:spPr>
                    <a:xfrm>
                      <a:off x="0" y="0"/>
                      <a:ext cx="5939480" cy="2222500"/>
                    </a:xfrm>
                    <a:prstGeom prst="rect">
                      <a:avLst/>
                    </a:prstGeom>
                    <a:ln/>
                  </pic:spPr>
                </pic:pic>
              </a:graphicData>
            </a:graphic>
          </wp:inline>
        </w:drawing>
      </w:r>
      <w:r>
        <w:t>Figure S10. Mean daily cycle of air temperature (top) and air temperature offset (bottom) computed with hourly-debiased ERA5L at each forest site. The 90% confidence interval is shown in shaded blue.</w:t>
      </w:r>
    </w:p>
    <w:p w:rsidR="003970F3" w:rsidRDefault="001466AD">
      <w:pPr>
        <w:spacing w:after="200" w:line="360" w:lineRule="auto"/>
        <w:jc w:val="both"/>
      </w:pPr>
      <w:r>
        <w:rPr>
          <w:noProof/>
        </w:rPr>
        <w:drawing>
          <wp:inline distT="114300" distB="114300" distL="114300" distR="114300">
            <wp:extent cx="5939480" cy="2222500"/>
            <wp:effectExtent l="0" t="0" r="0" b="0"/>
            <wp:docPr id="1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t="107" b="107"/>
                    <a:stretch>
                      <a:fillRect/>
                    </a:stretch>
                  </pic:blipFill>
                  <pic:spPr>
                    <a:xfrm>
                      <a:off x="0" y="0"/>
                      <a:ext cx="5939480" cy="2222500"/>
                    </a:xfrm>
                    <a:prstGeom prst="rect">
                      <a:avLst/>
                    </a:prstGeom>
                    <a:ln/>
                  </pic:spPr>
                </pic:pic>
              </a:graphicData>
            </a:graphic>
          </wp:inline>
        </w:drawing>
      </w:r>
      <w:r>
        <w:t>Figure S11. Mean seasonal cycle of air temperature (top) and air temperature offset (bottom) computed with monthly-debiased ERA5L at each forest site. The 90% confidence interval is shown in shaded blue.</w:t>
      </w:r>
    </w:p>
    <w:p w:rsidR="003970F3" w:rsidRDefault="003970F3">
      <w:pPr>
        <w:spacing w:after="200" w:line="360" w:lineRule="auto"/>
        <w:jc w:val="both"/>
      </w:pPr>
    </w:p>
    <w:p w:rsidR="003970F3" w:rsidRDefault="001466AD">
      <w:pPr>
        <w:numPr>
          <w:ilvl w:val="0"/>
          <w:numId w:val="2"/>
        </w:numPr>
        <w:spacing w:line="276" w:lineRule="auto"/>
        <w:rPr>
          <w:sz w:val="36"/>
          <w:szCs w:val="36"/>
        </w:rPr>
      </w:pPr>
      <w:r>
        <w:rPr>
          <w:sz w:val="36"/>
          <w:szCs w:val="36"/>
        </w:rPr>
        <w:t>2023-2024 extreme event</w:t>
      </w:r>
    </w:p>
    <w:p w:rsidR="003970F3" w:rsidRDefault="003970F3">
      <w:pPr>
        <w:pBdr>
          <w:top w:val="nil"/>
          <w:left w:val="nil"/>
          <w:bottom w:val="nil"/>
          <w:right w:val="nil"/>
          <w:between w:val="nil"/>
        </w:pBdr>
        <w:spacing w:after="200" w:line="276" w:lineRule="auto"/>
        <w:ind w:left="1080"/>
        <w:rPr>
          <w:color w:val="000000"/>
          <w:sz w:val="36"/>
          <w:szCs w:val="36"/>
        </w:rPr>
      </w:pPr>
    </w:p>
    <w:p w:rsidR="003970F3" w:rsidRDefault="003970F3"/>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rPr>
        <w:lastRenderedPageBreak/>
        <w:drawing>
          <wp:inline distT="0" distB="0" distL="0" distR="0">
            <wp:extent cx="5940423" cy="3960282"/>
            <wp:effectExtent l="0" t="0" r="0" b="0"/>
            <wp:docPr id="1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940423" cy="3960282"/>
                    </a:xfrm>
                    <a:prstGeom prst="rect">
                      <a:avLst/>
                    </a:prstGeom>
                    <a:ln/>
                  </pic:spPr>
                </pic:pic>
              </a:graphicData>
            </a:graphic>
          </wp:inline>
        </w:drawing>
      </w:r>
    </w:p>
    <w:p w:rsidR="003970F3" w:rsidRDefault="001466AD">
      <w:pPr>
        <w:pBdr>
          <w:top w:val="nil"/>
          <w:left w:val="nil"/>
          <w:bottom w:val="nil"/>
          <w:right w:val="nil"/>
          <w:between w:val="nil"/>
        </w:pBdr>
        <w:spacing w:after="200" w:line="360" w:lineRule="auto"/>
        <w:jc w:val="both"/>
        <w:rPr>
          <w:color w:val="000000"/>
        </w:rPr>
      </w:pPr>
      <w:r>
        <w:rPr>
          <w:color w:val="000000"/>
        </w:rPr>
        <w:t> Figure S</w:t>
      </w:r>
      <w:r>
        <w:t>12</w:t>
      </w:r>
      <w:r>
        <w:rPr>
          <w:color w:val="000000"/>
        </w:rPr>
        <w:t>. Monthly mean seasonal cycle of the full dataset for all forests (</w:t>
      </w:r>
      <w:proofErr w:type="spellStart"/>
      <w:r>
        <w:rPr>
          <w:color w:val="000000"/>
        </w:rPr>
        <w:t>Laussat</w:t>
      </w:r>
      <w:proofErr w:type="spellEnd"/>
      <w:r>
        <w:rPr>
          <w:color w:val="000000"/>
        </w:rPr>
        <w:t xml:space="preserve">: LAU, </w:t>
      </w:r>
      <w:proofErr w:type="spellStart"/>
      <w:r>
        <w:rPr>
          <w:color w:val="000000"/>
        </w:rPr>
        <w:t>Paracou</w:t>
      </w:r>
      <w:proofErr w:type="spellEnd"/>
      <w:r>
        <w:rPr>
          <w:color w:val="000000"/>
        </w:rPr>
        <w:t xml:space="preserve">: Par, </w:t>
      </w:r>
      <w:proofErr w:type="spellStart"/>
      <w:r>
        <w:rPr>
          <w:color w:val="000000"/>
        </w:rPr>
        <w:t>Nouragues</w:t>
      </w:r>
      <w:proofErr w:type="spellEnd"/>
      <w:r>
        <w:rPr>
          <w:color w:val="000000"/>
        </w:rPr>
        <w:t xml:space="preserve">: NOU, </w:t>
      </w:r>
      <w:proofErr w:type="spellStart"/>
      <w:r>
        <w:rPr>
          <w:color w:val="000000"/>
        </w:rPr>
        <w:t>Itoupé</w:t>
      </w:r>
      <w:proofErr w:type="spellEnd"/>
      <w:r>
        <w:rPr>
          <w:color w:val="000000"/>
        </w:rPr>
        <w:t xml:space="preserve"> 1: ITO1, </w:t>
      </w:r>
      <w:proofErr w:type="spellStart"/>
      <w:r>
        <w:rPr>
          <w:color w:val="000000"/>
        </w:rPr>
        <w:t>Itoupé</w:t>
      </w:r>
      <w:proofErr w:type="spellEnd"/>
      <w:r>
        <w:rPr>
          <w:color w:val="000000"/>
        </w:rPr>
        <w:t xml:space="preserve"> 2: ITO2, </w:t>
      </w:r>
      <w:proofErr w:type="spellStart"/>
      <w:r>
        <w:rPr>
          <w:color w:val="000000"/>
        </w:rPr>
        <w:t>Itoupé</w:t>
      </w:r>
      <w:proofErr w:type="spellEnd"/>
      <w:r>
        <w:rPr>
          <w:color w:val="000000"/>
        </w:rPr>
        <w:t xml:space="preserve"> 3: ITO3). The year 2023 and the ye</w:t>
      </w:r>
      <w:r>
        <w:t xml:space="preserve">ar 2024 are shown in navy blue and red respectively. </w:t>
      </w:r>
      <w:r>
        <w:rPr>
          <w:color w:val="000000"/>
        </w:rPr>
        <w:t xml:space="preserve">The understory microclimate of two additional historical forest sites </w:t>
      </w:r>
      <w:proofErr w:type="spellStart"/>
      <w:r>
        <w:rPr>
          <w:color w:val="000000"/>
        </w:rPr>
        <w:t>Mapane</w:t>
      </w:r>
      <w:proofErr w:type="spellEnd"/>
      <w:r>
        <w:rPr>
          <w:color w:val="000000"/>
        </w:rPr>
        <w:t xml:space="preserve"> (Schulz 1960) and </w:t>
      </w:r>
      <w:proofErr w:type="spellStart"/>
      <w:r>
        <w:rPr>
          <w:color w:val="000000"/>
        </w:rPr>
        <w:t>Arbocel</w:t>
      </w:r>
      <w:proofErr w:type="spellEnd"/>
      <w:r>
        <w:rPr>
          <w:color w:val="000000"/>
        </w:rPr>
        <w:t xml:space="preserve"> (Finkelstein 1982) are displayed for the 1955-1957 period (</w:t>
      </w:r>
      <w:r>
        <w:t xml:space="preserve">yellow </w:t>
      </w:r>
      <w:r>
        <w:rPr>
          <w:color w:val="000000"/>
        </w:rPr>
        <w:t xml:space="preserve">stars) and year 1981 (yellow dots) respectively on the </w:t>
      </w:r>
      <w:proofErr w:type="spellStart"/>
      <w:r>
        <w:rPr>
          <w:color w:val="000000"/>
        </w:rPr>
        <w:t>Paracou</w:t>
      </w:r>
      <w:proofErr w:type="spellEnd"/>
      <w:r>
        <w:rPr>
          <w:color w:val="000000"/>
        </w:rPr>
        <w:t xml:space="preserve"> forest panel. </w:t>
      </w:r>
    </w:p>
    <w:p w:rsidR="003970F3" w:rsidRDefault="003970F3">
      <w:pPr>
        <w:pBdr>
          <w:top w:val="nil"/>
          <w:left w:val="nil"/>
          <w:bottom w:val="nil"/>
          <w:right w:val="nil"/>
          <w:between w:val="nil"/>
        </w:pBdr>
        <w:spacing w:after="200" w:line="360" w:lineRule="auto"/>
        <w:jc w:val="both"/>
      </w:pPr>
    </w:p>
    <w:p w:rsidR="003970F3" w:rsidRDefault="001466AD">
      <w:pPr>
        <w:pBdr>
          <w:top w:val="nil"/>
          <w:left w:val="nil"/>
          <w:bottom w:val="nil"/>
          <w:right w:val="nil"/>
          <w:between w:val="nil"/>
        </w:pBdr>
        <w:spacing w:after="200" w:line="360" w:lineRule="auto"/>
        <w:jc w:val="both"/>
        <w:rPr>
          <w:color w:val="000000"/>
          <w:sz w:val="36"/>
          <w:szCs w:val="36"/>
        </w:rPr>
      </w:pPr>
      <w:r>
        <w:rPr>
          <w:noProof/>
        </w:rPr>
        <w:lastRenderedPageBreak/>
        <w:drawing>
          <wp:inline distT="114300" distB="114300" distL="114300" distR="114300">
            <wp:extent cx="5939480" cy="3568700"/>
            <wp:effectExtent l="0" t="0" r="0" b="0"/>
            <wp:docPr id="1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939480" cy="3568700"/>
                    </a:xfrm>
                    <a:prstGeom prst="rect">
                      <a:avLst/>
                    </a:prstGeom>
                    <a:ln/>
                  </pic:spPr>
                </pic:pic>
              </a:graphicData>
            </a:graphic>
          </wp:inline>
        </w:drawing>
      </w:r>
      <w:r>
        <w:t>Figure S13. Monthly minimum, mean and maximum temperature difference between year 2023 (2024) and the 2014-2022 reference period for all sensors once corrected for altitude.</w:t>
      </w: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rPr>
        <w:lastRenderedPageBreak/>
        <w:drawing>
          <wp:inline distT="0" distB="0" distL="0" distR="0">
            <wp:extent cx="5486400" cy="8229600"/>
            <wp:effectExtent l="0" t="0" r="0" b="0"/>
            <wp:docPr id="1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t="12" b="12"/>
                    <a:stretch>
                      <a:fillRect/>
                    </a:stretch>
                  </pic:blipFill>
                  <pic:spPr>
                    <a:xfrm>
                      <a:off x="0" y="0"/>
                      <a:ext cx="5486400" cy="8229600"/>
                    </a:xfrm>
                    <a:prstGeom prst="rect">
                      <a:avLst/>
                    </a:prstGeom>
                    <a:ln/>
                  </pic:spPr>
                </pic:pic>
              </a:graphicData>
            </a:graphic>
          </wp:inline>
        </w:drawing>
      </w:r>
    </w:p>
    <w:p w:rsidR="003970F3" w:rsidRDefault="001466AD">
      <w:pPr>
        <w:pBdr>
          <w:top w:val="nil"/>
          <w:left w:val="nil"/>
          <w:bottom w:val="nil"/>
          <w:right w:val="nil"/>
          <w:between w:val="nil"/>
        </w:pBdr>
        <w:spacing w:after="200" w:line="360" w:lineRule="auto"/>
        <w:jc w:val="both"/>
        <w:rPr>
          <w:color w:val="000000"/>
        </w:rPr>
      </w:pPr>
      <w:r>
        <w:rPr>
          <w:color w:val="000000"/>
        </w:rPr>
        <w:t>Figure S1</w:t>
      </w:r>
      <w:r>
        <w:t>4</w:t>
      </w:r>
      <w:r>
        <w:rPr>
          <w:color w:val="000000"/>
        </w:rPr>
        <w:t xml:space="preserve">. Hourly temperature distribution from the full dataset in October (wet season, left column) and May (dry season, right column) for 2014-2022 period (black), year 2023 (red) and </w:t>
      </w:r>
      <w:r>
        <w:rPr>
          <w:color w:val="000000"/>
        </w:rPr>
        <w:lastRenderedPageBreak/>
        <w:t>2024 (green) in each forest. The novelty index (</w:t>
      </w:r>
      <w:r>
        <w:t>%)</w:t>
      </w:r>
      <w:r>
        <w:rPr>
          <w:color w:val="000000"/>
        </w:rPr>
        <w:t xml:space="preserve"> for 2023 and 2024 is shown in red and green respectively in the top left corner.</w:t>
      </w:r>
    </w:p>
    <w:p w:rsidR="003970F3" w:rsidRDefault="003970F3">
      <w:pPr>
        <w:spacing w:line="360" w:lineRule="auto"/>
      </w:pP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color w:val="000000"/>
          <w:sz w:val="36"/>
          <w:szCs w:val="36"/>
        </w:rPr>
        <w:drawing>
          <wp:inline distT="0" distB="0" distL="0" distR="0">
            <wp:extent cx="5939790" cy="3299742"/>
            <wp:effectExtent l="0" t="0" r="0" b="0"/>
            <wp:docPr id="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939790" cy="3299742"/>
                    </a:xfrm>
                    <a:prstGeom prst="rect">
                      <a:avLst/>
                    </a:prstGeom>
                    <a:ln/>
                  </pic:spPr>
                </pic:pic>
              </a:graphicData>
            </a:graphic>
          </wp:inline>
        </w:drawing>
      </w: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t>Figure S15. Temporal evolution (a) distribution (shaded) and cumulative distribution (line) (b) of the detrended monthly mean understory temperature for TMS (red) and U23 (black) sensors at sea level.</w:t>
      </w: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rPr>
        <w:lastRenderedPageBreak/>
        <w:drawing>
          <wp:inline distT="114300" distB="114300" distL="114300" distR="114300">
            <wp:extent cx="5939480" cy="4457700"/>
            <wp:effectExtent l="0" t="0" r="0" b="0"/>
            <wp:docPr id="11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5939480" cy="4457700"/>
                    </a:xfrm>
                    <a:prstGeom prst="rect">
                      <a:avLst/>
                    </a:prstGeom>
                    <a:ln/>
                  </pic:spPr>
                </pic:pic>
              </a:graphicData>
            </a:graphic>
          </wp:inline>
        </w:drawing>
      </w: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t xml:space="preserve">Figure S16. Monthly mean soil water content (SWC) over 2015-2024 measured at 5 cm belowground at the </w:t>
      </w:r>
      <w:proofErr w:type="spellStart"/>
      <w:r>
        <w:t>Guyaflux</w:t>
      </w:r>
      <w:proofErr w:type="spellEnd"/>
      <w:r>
        <w:t xml:space="preserve"> tower in </w:t>
      </w:r>
      <w:proofErr w:type="spellStart"/>
      <w:r>
        <w:t>Paracou</w:t>
      </w:r>
      <w:proofErr w:type="spellEnd"/>
      <w:r>
        <w:t xml:space="preserve"> forest. The range between the 5% and the 95% quantiles is shown in shaded blue. The red line represents the minimum value of the monthly soil water content over the period. It was reached in October 2023.</w:t>
      </w: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rPr>
        <w:lastRenderedPageBreak/>
        <w:drawing>
          <wp:inline distT="114300" distB="114300" distL="114300" distR="114300">
            <wp:extent cx="5939480" cy="4749800"/>
            <wp:effectExtent l="0" t="0" r="0" b="0"/>
            <wp:docPr id="1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5939480" cy="4749800"/>
                    </a:xfrm>
                    <a:prstGeom prst="rect">
                      <a:avLst/>
                    </a:prstGeom>
                    <a:ln/>
                  </pic:spPr>
                </pic:pic>
              </a:graphicData>
            </a:graphic>
          </wp:inline>
        </w:drawing>
      </w: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t xml:space="preserve">Figure S17. Monthly mean understory air temperature relation to El Niño index. a) Monthly mean understory air temperature at sea-level (blue) and monthly mean El Niño index (1+2 </w:t>
      </w:r>
      <w:proofErr w:type="spellStart"/>
      <w:r>
        <w:t>HaddISST</w:t>
      </w:r>
      <w:proofErr w:type="spellEnd"/>
      <w:r>
        <w:t xml:space="preserve">, from NOAA/PSL). We observe that both time series are correlated with higher (lower) temperatures </w:t>
      </w:r>
      <w:proofErr w:type="spellStart"/>
      <w:r>
        <w:t>occuring</w:t>
      </w:r>
      <w:proofErr w:type="spellEnd"/>
      <w:r>
        <w:t xml:space="preserve"> after a more positive (negative) El Niño index. Strongly positive (negative) indices correspond to El Niño (La Niña) events. The 2015-2016 and 2023-2024 El </w:t>
      </w:r>
      <w:proofErr w:type="spellStart"/>
      <w:r>
        <w:t>Niños</w:t>
      </w:r>
      <w:proofErr w:type="spellEnd"/>
      <w:r>
        <w:t xml:space="preserve"> and the 2017-2018 and 2022-2023 La </w:t>
      </w:r>
      <w:proofErr w:type="spellStart"/>
      <w:r>
        <w:t>Niñas</w:t>
      </w:r>
      <w:proofErr w:type="spellEnd"/>
      <w:r>
        <w:t xml:space="preserve"> are clearly visible with very positive and negative indices. b) Pearson correlation between monthly mean understory air temperature and the El Niño index for different monthly lags. The maximum correlation coefficient (0.41) is found for a 4-month lag in understory air temperature.</w:t>
      </w:r>
    </w:p>
    <w:p w:rsidR="003970F3" w:rsidRDefault="003970F3">
      <w:pPr>
        <w:pBdr>
          <w:top w:val="none" w:sz="0" w:space="0" w:color="000000"/>
          <w:left w:val="none" w:sz="0" w:space="0" w:color="000000"/>
          <w:bottom w:val="none" w:sz="0" w:space="0" w:color="000000"/>
          <w:right w:val="none" w:sz="0" w:space="0" w:color="000000"/>
        </w:pBdr>
        <w:spacing w:line="360" w:lineRule="auto"/>
        <w:jc w:val="both"/>
      </w:pP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rPr>
          <w:noProof/>
        </w:rPr>
        <w:lastRenderedPageBreak/>
        <w:drawing>
          <wp:inline distT="114300" distB="114300" distL="114300" distR="114300">
            <wp:extent cx="5939480" cy="4457700"/>
            <wp:effectExtent l="0" t="0" r="0" b="0"/>
            <wp:docPr id="1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5939480" cy="4457700"/>
                    </a:xfrm>
                    <a:prstGeom prst="rect">
                      <a:avLst/>
                    </a:prstGeom>
                    <a:ln/>
                  </pic:spPr>
                </pic:pic>
              </a:graphicData>
            </a:graphic>
          </wp:inline>
        </w:drawing>
      </w:r>
    </w:p>
    <w:p w:rsidR="003970F3" w:rsidRDefault="001466AD">
      <w:pPr>
        <w:pBdr>
          <w:top w:val="none" w:sz="0" w:space="0" w:color="000000"/>
          <w:left w:val="none" w:sz="0" w:space="0" w:color="000000"/>
          <w:bottom w:val="none" w:sz="0" w:space="0" w:color="000000"/>
          <w:right w:val="none" w:sz="0" w:space="0" w:color="000000"/>
        </w:pBdr>
        <w:spacing w:line="360" w:lineRule="auto"/>
        <w:jc w:val="both"/>
      </w:pPr>
      <w:r>
        <w:t xml:space="preserve">Figure S18: Comparison of hourly air temperature from the flux tower (55m high) and bias-corrected ERA5-Land (surface) at </w:t>
      </w:r>
      <w:proofErr w:type="spellStart"/>
      <w:r>
        <w:t>Paracou</w:t>
      </w:r>
      <w:proofErr w:type="spellEnd"/>
    </w:p>
    <w:sectPr w:rsidR="003970F3">
      <w:headerReference w:type="even" r:id="rId30"/>
      <w:headerReference w:type="default" r:id="rId31"/>
      <w:footerReference w:type="even" r:id="rId32"/>
      <w:footerReference w:type="default" r:id="rId33"/>
      <w:headerReference w:type="first" r:id="rId34"/>
      <w:footerReference w:type="first" r:id="rId35"/>
      <w:pgSz w:w="11906" w:h="16838"/>
      <w:pgMar w:top="1134" w:right="851" w:bottom="1134" w:left="1701" w:header="709" w:footer="709"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BF3" w:rsidRDefault="001466AD">
      <w:r>
        <w:separator/>
      </w:r>
    </w:p>
  </w:endnote>
  <w:endnote w:type="continuationSeparator" w:id="0">
    <w:p w:rsidR="00973BF3" w:rsidRDefault="0014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70F3" w:rsidRDefault="003970F3">
    <w:pPr>
      <w:pBdr>
        <w:top w:val="nil"/>
        <w:left w:val="nil"/>
        <w:bottom w:val="nil"/>
        <w:right w:val="nil"/>
        <w:between w:val="nil"/>
      </w:pBdr>
      <w:tabs>
        <w:tab w:val="center" w:pos="4844"/>
        <w:tab w:val="right" w:pos="9689"/>
      </w:tabs>
      <w:rPr>
        <w:rFonts w:ascii="Arial" w:eastAsia="Arial" w:hAnsi="Arial" w:cs="Arial"/>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70F3" w:rsidRDefault="003970F3">
    <w:pPr>
      <w:pBdr>
        <w:top w:val="nil"/>
        <w:left w:val="nil"/>
        <w:bottom w:val="nil"/>
        <w:right w:val="nil"/>
        <w:between w:val="nil"/>
      </w:pBdr>
      <w:tabs>
        <w:tab w:val="center" w:pos="4844"/>
        <w:tab w:val="right" w:pos="9689"/>
      </w:tabs>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70F3" w:rsidRDefault="003970F3">
    <w:pPr>
      <w:pBdr>
        <w:top w:val="nil"/>
        <w:left w:val="nil"/>
        <w:bottom w:val="nil"/>
        <w:right w:val="nil"/>
        <w:between w:val="nil"/>
      </w:pBdr>
      <w:tabs>
        <w:tab w:val="center" w:pos="4844"/>
        <w:tab w:val="right" w:pos="9689"/>
      </w:tabs>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BF3" w:rsidRDefault="001466AD">
      <w:r>
        <w:separator/>
      </w:r>
    </w:p>
  </w:footnote>
  <w:footnote w:type="continuationSeparator" w:id="0">
    <w:p w:rsidR="00973BF3" w:rsidRDefault="00146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70F3" w:rsidRDefault="003970F3">
    <w:pPr>
      <w:pBdr>
        <w:top w:val="nil"/>
        <w:left w:val="nil"/>
        <w:bottom w:val="nil"/>
        <w:right w:val="nil"/>
        <w:between w:val="nil"/>
      </w:pBdr>
      <w:tabs>
        <w:tab w:val="center" w:pos="4844"/>
        <w:tab w:val="right" w:pos="9689"/>
      </w:tabs>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70F3" w:rsidRDefault="003970F3">
    <w:pPr>
      <w:pBdr>
        <w:top w:val="nil"/>
        <w:left w:val="nil"/>
        <w:bottom w:val="nil"/>
        <w:right w:val="nil"/>
        <w:between w:val="nil"/>
      </w:pBdr>
      <w:tabs>
        <w:tab w:val="center" w:pos="4844"/>
        <w:tab w:val="right" w:pos="9689"/>
      </w:tabs>
      <w:rPr>
        <w:rFonts w:ascii="Arial" w:eastAsia="Arial" w:hAnsi="Arial" w:cs="Arial"/>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70F3" w:rsidRDefault="003970F3">
    <w:pPr>
      <w:pBdr>
        <w:top w:val="nil"/>
        <w:left w:val="nil"/>
        <w:bottom w:val="nil"/>
        <w:right w:val="nil"/>
        <w:between w:val="nil"/>
      </w:pBdr>
      <w:tabs>
        <w:tab w:val="center" w:pos="4844"/>
        <w:tab w:val="right" w:pos="9689"/>
      </w:tabs>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A29DF"/>
    <w:multiLevelType w:val="multilevel"/>
    <w:tmpl w:val="1E4A7F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E763DC0"/>
    <w:multiLevelType w:val="multilevel"/>
    <w:tmpl w:val="45E0F982"/>
    <w:lvl w:ilvl="0">
      <w:start w:val="1"/>
      <w:numFmt w:val="decimal"/>
      <w:lvlText w:val="%1."/>
      <w:lvlJc w:val="left"/>
      <w:pPr>
        <w:ind w:left="720" w:hanging="720"/>
      </w:pPr>
      <w:rPr>
        <w:color w:val="000000"/>
        <w:sz w:val="36"/>
        <w:szCs w:val="3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0256F7D"/>
    <w:multiLevelType w:val="multilevel"/>
    <w:tmpl w:val="DBEC8548"/>
    <w:lvl w:ilvl="0">
      <w:start w:val="1"/>
      <w:numFmt w:val="upp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 w15:restartNumberingAfterBreak="0">
    <w:nsid w:val="658318C0"/>
    <w:multiLevelType w:val="multilevel"/>
    <w:tmpl w:val="84BCA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0F3"/>
    <w:rsid w:val="001466AD"/>
    <w:rsid w:val="003970F3"/>
    <w:rsid w:val="004E6041"/>
    <w:rsid w:val="00973B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F9995E"/>
  <w15:docId w15:val="{4A35DAFC-EEEF-3D41-8847-E55435C71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4B83"/>
  </w:style>
  <w:style w:type="paragraph" w:styleId="Titre1">
    <w:name w:val="heading 1"/>
    <w:basedOn w:val="Normal"/>
    <w:next w:val="Normal"/>
    <w:link w:val="Titre1Car"/>
    <w:uiPriority w:val="9"/>
    <w:qFormat/>
    <w:pPr>
      <w:keepNext/>
      <w:keepLines/>
      <w:spacing w:before="360" w:after="80" w:line="276" w:lineRule="auto"/>
      <w:outlineLvl w:val="0"/>
    </w:pPr>
    <w:rPr>
      <w:rFonts w:ascii="Arial" w:eastAsia="Arial" w:hAnsi="Arial" w:cs="Arial"/>
      <w:color w:val="2E74B5" w:themeColor="accent1" w:themeShade="BF"/>
      <w:sz w:val="40"/>
      <w:szCs w:val="40"/>
      <w:lang w:eastAsia="en-US"/>
    </w:rPr>
  </w:style>
  <w:style w:type="paragraph" w:styleId="Titre2">
    <w:name w:val="heading 2"/>
    <w:basedOn w:val="Normal"/>
    <w:next w:val="Normal"/>
    <w:link w:val="Titre2Car"/>
    <w:uiPriority w:val="9"/>
    <w:semiHidden/>
    <w:unhideWhenUsed/>
    <w:qFormat/>
    <w:pPr>
      <w:keepNext/>
      <w:keepLines/>
      <w:spacing w:before="160" w:after="80" w:line="276" w:lineRule="auto"/>
      <w:outlineLvl w:val="1"/>
    </w:pPr>
    <w:rPr>
      <w:rFonts w:ascii="Arial" w:eastAsia="Arial" w:hAnsi="Arial" w:cs="Arial"/>
      <w:color w:val="2E74B5" w:themeColor="accent1" w:themeShade="BF"/>
      <w:sz w:val="32"/>
      <w:szCs w:val="32"/>
      <w:lang w:eastAsia="en-US"/>
    </w:rPr>
  </w:style>
  <w:style w:type="paragraph" w:styleId="Titre3">
    <w:name w:val="heading 3"/>
    <w:basedOn w:val="Normal"/>
    <w:next w:val="Normal"/>
    <w:link w:val="Titre3Car"/>
    <w:uiPriority w:val="9"/>
    <w:semiHidden/>
    <w:unhideWhenUsed/>
    <w:qFormat/>
    <w:pPr>
      <w:keepNext/>
      <w:keepLines/>
      <w:spacing w:before="160" w:after="80" w:line="276" w:lineRule="auto"/>
      <w:outlineLvl w:val="2"/>
    </w:pPr>
    <w:rPr>
      <w:rFonts w:ascii="Arial" w:eastAsia="Arial" w:hAnsi="Arial" w:cs="Arial"/>
      <w:color w:val="2E74B5" w:themeColor="accent1" w:themeShade="BF"/>
      <w:sz w:val="28"/>
      <w:szCs w:val="28"/>
      <w:lang w:eastAsia="en-US"/>
    </w:rPr>
  </w:style>
  <w:style w:type="paragraph" w:styleId="Titre4">
    <w:name w:val="heading 4"/>
    <w:basedOn w:val="Normal"/>
    <w:next w:val="Normal"/>
    <w:link w:val="Titre4Car"/>
    <w:uiPriority w:val="9"/>
    <w:semiHidden/>
    <w:unhideWhenUsed/>
    <w:qFormat/>
    <w:pPr>
      <w:keepNext/>
      <w:keepLines/>
      <w:spacing w:before="80" w:after="40" w:line="276" w:lineRule="auto"/>
      <w:outlineLvl w:val="3"/>
    </w:pPr>
    <w:rPr>
      <w:rFonts w:ascii="Arial" w:eastAsia="Arial" w:hAnsi="Arial" w:cs="Arial"/>
      <w:i/>
      <w:iCs/>
      <w:color w:val="2E74B5" w:themeColor="accent1" w:themeShade="BF"/>
      <w:sz w:val="22"/>
      <w:szCs w:val="22"/>
      <w:lang w:eastAsia="en-US"/>
    </w:rPr>
  </w:style>
  <w:style w:type="paragraph" w:styleId="Titre5">
    <w:name w:val="heading 5"/>
    <w:basedOn w:val="Normal"/>
    <w:next w:val="Normal"/>
    <w:link w:val="Titre5Car"/>
    <w:uiPriority w:val="9"/>
    <w:semiHidden/>
    <w:unhideWhenUsed/>
    <w:qFormat/>
    <w:pPr>
      <w:keepNext/>
      <w:keepLines/>
      <w:spacing w:before="80" w:after="40" w:line="276" w:lineRule="auto"/>
      <w:outlineLvl w:val="4"/>
    </w:pPr>
    <w:rPr>
      <w:rFonts w:ascii="Arial" w:eastAsia="Arial" w:hAnsi="Arial" w:cs="Arial"/>
      <w:color w:val="2E74B5" w:themeColor="accent1" w:themeShade="BF"/>
      <w:sz w:val="22"/>
      <w:szCs w:val="22"/>
      <w:lang w:eastAsia="en-US"/>
    </w:rPr>
  </w:style>
  <w:style w:type="paragraph" w:styleId="Titre6">
    <w:name w:val="heading 6"/>
    <w:basedOn w:val="Normal"/>
    <w:next w:val="Normal"/>
    <w:link w:val="Titre6Car"/>
    <w:uiPriority w:val="9"/>
    <w:semiHidden/>
    <w:unhideWhenUsed/>
    <w:qFormat/>
    <w:pPr>
      <w:keepNext/>
      <w:keepLines/>
      <w:spacing w:before="40" w:line="276" w:lineRule="auto"/>
      <w:outlineLvl w:val="5"/>
    </w:pPr>
    <w:rPr>
      <w:rFonts w:ascii="Arial" w:eastAsia="Arial" w:hAnsi="Arial" w:cs="Arial"/>
      <w:i/>
      <w:iCs/>
      <w:color w:val="595959" w:themeColor="text1" w:themeTint="A6"/>
      <w:sz w:val="22"/>
      <w:szCs w:val="22"/>
      <w:lang w:eastAsia="en-US"/>
    </w:rPr>
  </w:style>
  <w:style w:type="paragraph" w:styleId="Titre7">
    <w:name w:val="heading 7"/>
    <w:basedOn w:val="Normal"/>
    <w:next w:val="Normal"/>
    <w:link w:val="Titre7Car"/>
    <w:uiPriority w:val="9"/>
    <w:unhideWhenUsed/>
    <w:qFormat/>
    <w:pPr>
      <w:keepNext/>
      <w:keepLines/>
      <w:spacing w:before="40" w:line="276" w:lineRule="auto"/>
      <w:outlineLvl w:val="6"/>
    </w:pPr>
    <w:rPr>
      <w:rFonts w:ascii="Arial" w:eastAsia="Arial" w:hAnsi="Arial" w:cs="Arial"/>
      <w:color w:val="595959" w:themeColor="text1" w:themeTint="A6"/>
      <w:sz w:val="22"/>
      <w:szCs w:val="22"/>
      <w:lang w:eastAsia="en-US"/>
    </w:rPr>
  </w:style>
  <w:style w:type="paragraph" w:styleId="Titre8">
    <w:name w:val="heading 8"/>
    <w:basedOn w:val="Normal"/>
    <w:next w:val="Normal"/>
    <w:link w:val="Titre8Car"/>
    <w:uiPriority w:val="9"/>
    <w:unhideWhenUsed/>
    <w:qFormat/>
    <w:pPr>
      <w:keepNext/>
      <w:keepLines/>
      <w:spacing w:line="276" w:lineRule="auto"/>
      <w:outlineLvl w:val="7"/>
    </w:pPr>
    <w:rPr>
      <w:rFonts w:ascii="Arial" w:eastAsia="Arial" w:hAnsi="Arial" w:cs="Arial"/>
      <w:i/>
      <w:iCs/>
      <w:color w:val="272727" w:themeColor="text1" w:themeTint="D8"/>
      <w:sz w:val="22"/>
      <w:szCs w:val="22"/>
      <w:lang w:eastAsia="en-US"/>
    </w:rPr>
  </w:style>
  <w:style w:type="paragraph" w:styleId="Titre9">
    <w:name w:val="heading 9"/>
    <w:basedOn w:val="Normal"/>
    <w:next w:val="Normal"/>
    <w:link w:val="Titre9Car"/>
    <w:uiPriority w:val="9"/>
    <w:unhideWhenUsed/>
    <w:qFormat/>
    <w:pPr>
      <w:keepNext/>
      <w:keepLines/>
      <w:spacing w:line="276" w:lineRule="auto"/>
      <w:outlineLvl w:val="8"/>
    </w:pPr>
    <w:rPr>
      <w:rFonts w:ascii="Arial" w:eastAsia="Arial" w:hAnsi="Arial" w:cs="Arial"/>
      <w:i/>
      <w:iCs/>
      <w:color w:val="272727" w:themeColor="text1" w:themeTint="D8"/>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link w:val="TitreCar"/>
    <w:uiPriority w:val="10"/>
    <w:qFormat/>
    <w:pPr>
      <w:spacing w:after="80"/>
      <w:contextualSpacing/>
    </w:pPr>
    <w:rPr>
      <w:rFonts w:ascii="Arial" w:eastAsia="Arial" w:hAnsi="Arial" w:cs="Arial"/>
      <w:spacing w:val="-10"/>
      <w:sz w:val="56"/>
      <w:szCs w:val="56"/>
      <w:lang w:eastAsia="en-US"/>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2E74B5" w:themeColor="accent1" w:themeShade="BF"/>
      <w:sz w:val="40"/>
      <w:szCs w:val="40"/>
    </w:rPr>
  </w:style>
  <w:style w:type="character" w:customStyle="1" w:styleId="Titre2Car">
    <w:name w:val="Titre 2 Car"/>
    <w:basedOn w:val="Policepardfaut"/>
    <w:link w:val="Titre2"/>
    <w:uiPriority w:val="9"/>
    <w:rPr>
      <w:rFonts w:ascii="Arial" w:eastAsia="Arial" w:hAnsi="Arial" w:cs="Arial"/>
      <w:color w:val="2E74B5"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2E74B5"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2E74B5" w:themeColor="accent1" w:themeShade="BF"/>
    </w:rPr>
  </w:style>
  <w:style w:type="character" w:customStyle="1" w:styleId="Titre5Car">
    <w:name w:val="Titre 5 Car"/>
    <w:basedOn w:val="Policepardfaut"/>
    <w:link w:val="Titre5"/>
    <w:uiPriority w:val="9"/>
    <w:rPr>
      <w:rFonts w:ascii="Arial" w:eastAsia="Arial" w:hAnsi="Arial" w:cs="Arial"/>
      <w:color w:val="2E74B5"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spacing w:after="200" w:line="276" w:lineRule="auto"/>
    </w:pPr>
    <w:rPr>
      <w:rFonts w:ascii="Arial" w:eastAsia="Arial" w:hAnsi="Arial" w:cs="Arial"/>
      <w:color w:val="595959"/>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after="200" w:line="276" w:lineRule="auto"/>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2E74B5" w:themeColor="accent1" w:themeShade="BF"/>
    </w:rPr>
  </w:style>
  <w:style w:type="paragraph" w:styleId="Citationintense">
    <w:name w:val="Intense Quote"/>
    <w:basedOn w:val="Normal"/>
    <w:next w:val="Normal"/>
    <w:link w:val="CitationintenseCar"/>
    <w:uiPriority w:val="30"/>
    <w:qFormat/>
    <w:pPr>
      <w:pBdr>
        <w:top w:val="single" w:sz="4" w:space="10" w:color="2E74B5" w:themeColor="accent1" w:themeShade="BF"/>
        <w:bottom w:val="single" w:sz="4" w:space="10" w:color="2E74B5" w:themeColor="accent1" w:themeShade="BF"/>
      </w:pBdr>
      <w:spacing w:before="360" w:after="360" w:line="276" w:lineRule="auto"/>
      <w:ind w:left="864" w:right="864"/>
      <w:jc w:val="center"/>
    </w:pPr>
    <w:rPr>
      <w:rFonts w:asciiTheme="minorHAnsi" w:eastAsiaTheme="minorHAnsi" w:hAnsiTheme="minorHAnsi" w:cstheme="minorBidi"/>
      <w:i/>
      <w:iCs/>
      <w:color w:val="2E74B5" w:themeColor="accent1" w:themeShade="BF"/>
      <w:sz w:val="22"/>
      <w:szCs w:val="22"/>
      <w:lang w:eastAsia="en-US"/>
    </w:rPr>
  </w:style>
  <w:style w:type="character" w:customStyle="1" w:styleId="CitationintenseCar">
    <w:name w:val="Citation intense Car"/>
    <w:basedOn w:val="Policepardfaut"/>
    <w:link w:val="Citationintense"/>
    <w:uiPriority w:val="30"/>
    <w:rPr>
      <w:i/>
      <w:iCs/>
      <w:color w:val="2E74B5" w:themeColor="accent1" w:themeShade="BF"/>
    </w:rPr>
  </w:style>
  <w:style w:type="character" w:styleId="Rfrenceintense">
    <w:name w:val="Intense Reference"/>
    <w:basedOn w:val="Policepardfaut"/>
    <w:uiPriority w:val="32"/>
    <w:qFormat/>
    <w:rPr>
      <w:b/>
      <w:bCs/>
      <w:smallCaps/>
      <w:color w:val="2E74B5" w:themeColor="accent1" w:themeShade="BF"/>
      <w:spacing w:val="5"/>
    </w:r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paragraph" w:styleId="En-tte">
    <w:name w:val="header"/>
    <w:basedOn w:val="Normal"/>
    <w:link w:val="En-tteCar"/>
    <w:uiPriority w:val="99"/>
    <w:unhideWhenUsed/>
    <w:pPr>
      <w:tabs>
        <w:tab w:val="center" w:pos="4844"/>
        <w:tab w:val="right" w:pos="9689"/>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844"/>
        <w:tab w:val="right" w:pos="9689"/>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pPr>
    <w:rPr>
      <w:rFonts w:asciiTheme="minorHAnsi" w:eastAsiaTheme="minorHAnsi" w:hAnsiTheme="minorHAnsi" w:cstheme="minorBidi"/>
      <w:i/>
      <w:iCs/>
      <w:color w:val="44546A" w:themeColor="text2"/>
      <w:sz w:val="18"/>
      <w:szCs w:val="18"/>
      <w:lang w:eastAsia="en-US"/>
    </w:rPr>
  </w:style>
  <w:style w:type="paragraph" w:styleId="Notedebasdepage">
    <w:name w:val="footnote text"/>
    <w:basedOn w:val="Normal"/>
    <w:link w:val="NotedebasdepageCar"/>
    <w:uiPriority w:val="99"/>
    <w:semiHidden/>
    <w:unhideWhenUsed/>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rPr>
      <w:rFonts w:asciiTheme="minorHAnsi" w:eastAsiaTheme="minorHAnsi" w:hAnsiTheme="minorHAnsi" w:cstheme="minorBidi"/>
      <w:sz w:val="20"/>
      <w:szCs w:val="20"/>
      <w:lang w:eastAsia="en-US"/>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
    <w:name w:val="Hyperlink"/>
    <w:basedOn w:val="Policepardfaut"/>
    <w:uiPriority w:val="99"/>
    <w:unhideWhenUsed/>
    <w:rPr>
      <w:color w:val="0563C1" w:themeColor="hyperlink"/>
      <w:u w:val="single"/>
    </w:rPr>
  </w:style>
  <w:style w:type="character" w:styleId="Lienhypertextesuivivisit">
    <w:name w:val="FollowedHyperlink"/>
    <w:basedOn w:val="Policepardfaut"/>
    <w:uiPriority w:val="99"/>
    <w:semiHidden/>
    <w:unhideWhenUsed/>
    <w:rPr>
      <w:color w:val="954F72" w:themeColor="followedHyperlink"/>
      <w:u w:val="single"/>
    </w:rPr>
  </w:style>
  <w:style w:type="paragraph" w:styleId="TM1">
    <w:name w:val="toc 1"/>
    <w:basedOn w:val="Normal"/>
    <w:next w:val="Normal"/>
    <w:uiPriority w:val="39"/>
    <w:unhideWhenUsed/>
    <w:pPr>
      <w:spacing w:after="100" w:line="276" w:lineRule="auto"/>
    </w:pPr>
    <w:rPr>
      <w:rFonts w:asciiTheme="minorHAnsi" w:eastAsiaTheme="minorHAnsi" w:hAnsiTheme="minorHAnsi" w:cstheme="minorBidi"/>
      <w:sz w:val="22"/>
      <w:szCs w:val="22"/>
      <w:lang w:eastAsia="en-US"/>
    </w:rPr>
  </w:style>
  <w:style w:type="paragraph" w:styleId="TM2">
    <w:name w:val="toc 2"/>
    <w:basedOn w:val="Normal"/>
    <w:next w:val="Normal"/>
    <w:uiPriority w:val="39"/>
    <w:unhideWhenUsed/>
    <w:pPr>
      <w:spacing w:after="100" w:line="276" w:lineRule="auto"/>
      <w:ind w:left="220"/>
    </w:pPr>
    <w:rPr>
      <w:rFonts w:asciiTheme="minorHAnsi" w:eastAsiaTheme="minorHAnsi" w:hAnsiTheme="minorHAnsi" w:cstheme="minorBidi"/>
      <w:sz w:val="22"/>
      <w:szCs w:val="22"/>
      <w:lang w:eastAsia="en-US"/>
    </w:rPr>
  </w:style>
  <w:style w:type="paragraph" w:styleId="TM3">
    <w:name w:val="toc 3"/>
    <w:basedOn w:val="Normal"/>
    <w:next w:val="Normal"/>
    <w:uiPriority w:val="39"/>
    <w:unhideWhenUsed/>
    <w:pPr>
      <w:spacing w:after="100" w:line="276" w:lineRule="auto"/>
      <w:ind w:left="440"/>
    </w:pPr>
    <w:rPr>
      <w:rFonts w:asciiTheme="minorHAnsi" w:eastAsiaTheme="minorHAnsi" w:hAnsiTheme="minorHAnsi" w:cstheme="minorBidi"/>
      <w:sz w:val="22"/>
      <w:szCs w:val="22"/>
      <w:lang w:eastAsia="en-US"/>
    </w:rPr>
  </w:style>
  <w:style w:type="paragraph" w:styleId="TM4">
    <w:name w:val="toc 4"/>
    <w:basedOn w:val="Normal"/>
    <w:next w:val="Normal"/>
    <w:uiPriority w:val="39"/>
    <w:unhideWhenUsed/>
    <w:pPr>
      <w:spacing w:after="100" w:line="276" w:lineRule="auto"/>
      <w:ind w:left="660"/>
    </w:pPr>
    <w:rPr>
      <w:rFonts w:asciiTheme="minorHAnsi" w:eastAsiaTheme="minorHAnsi" w:hAnsiTheme="minorHAnsi" w:cstheme="minorBidi"/>
      <w:sz w:val="22"/>
      <w:szCs w:val="22"/>
      <w:lang w:eastAsia="en-US"/>
    </w:rPr>
  </w:style>
  <w:style w:type="paragraph" w:styleId="TM5">
    <w:name w:val="toc 5"/>
    <w:basedOn w:val="Normal"/>
    <w:next w:val="Normal"/>
    <w:uiPriority w:val="39"/>
    <w:unhideWhenUsed/>
    <w:pPr>
      <w:spacing w:after="100" w:line="276" w:lineRule="auto"/>
      <w:ind w:left="880"/>
    </w:pPr>
    <w:rPr>
      <w:rFonts w:asciiTheme="minorHAnsi" w:eastAsiaTheme="minorHAnsi" w:hAnsiTheme="minorHAnsi" w:cstheme="minorBidi"/>
      <w:sz w:val="22"/>
      <w:szCs w:val="22"/>
      <w:lang w:eastAsia="en-US"/>
    </w:rPr>
  </w:style>
  <w:style w:type="paragraph" w:styleId="TM6">
    <w:name w:val="toc 6"/>
    <w:basedOn w:val="Normal"/>
    <w:next w:val="Normal"/>
    <w:uiPriority w:val="39"/>
    <w:unhideWhenUsed/>
    <w:pPr>
      <w:spacing w:after="100" w:line="276" w:lineRule="auto"/>
      <w:ind w:left="1100"/>
    </w:pPr>
    <w:rPr>
      <w:rFonts w:asciiTheme="minorHAnsi" w:eastAsiaTheme="minorHAnsi" w:hAnsiTheme="minorHAnsi" w:cstheme="minorBidi"/>
      <w:sz w:val="22"/>
      <w:szCs w:val="22"/>
      <w:lang w:eastAsia="en-US"/>
    </w:rPr>
  </w:style>
  <w:style w:type="paragraph" w:styleId="TM7">
    <w:name w:val="toc 7"/>
    <w:basedOn w:val="Normal"/>
    <w:next w:val="Normal"/>
    <w:uiPriority w:val="39"/>
    <w:unhideWhenUsed/>
    <w:pPr>
      <w:spacing w:after="100" w:line="276" w:lineRule="auto"/>
      <w:ind w:left="1320"/>
    </w:pPr>
    <w:rPr>
      <w:rFonts w:asciiTheme="minorHAnsi" w:eastAsiaTheme="minorHAnsi" w:hAnsiTheme="minorHAnsi" w:cstheme="minorBidi"/>
      <w:sz w:val="22"/>
      <w:szCs w:val="22"/>
      <w:lang w:eastAsia="en-US"/>
    </w:rPr>
  </w:style>
  <w:style w:type="paragraph" w:styleId="TM8">
    <w:name w:val="toc 8"/>
    <w:basedOn w:val="Normal"/>
    <w:next w:val="Normal"/>
    <w:uiPriority w:val="39"/>
    <w:unhideWhenUsed/>
    <w:pPr>
      <w:spacing w:after="100" w:line="276" w:lineRule="auto"/>
      <w:ind w:left="1540"/>
    </w:pPr>
    <w:rPr>
      <w:rFonts w:asciiTheme="minorHAnsi" w:eastAsiaTheme="minorHAnsi" w:hAnsiTheme="minorHAnsi" w:cstheme="minorBidi"/>
      <w:sz w:val="22"/>
      <w:szCs w:val="22"/>
      <w:lang w:eastAsia="en-US"/>
    </w:rPr>
  </w:style>
  <w:style w:type="paragraph" w:styleId="TM9">
    <w:name w:val="toc 9"/>
    <w:basedOn w:val="Normal"/>
    <w:next w:val="Normal"/>
    <w:uiPriority w:val="39"/>
    <w:unhideWhenUsed/>
    <w:pPr>
      <w:spacing w:after="100" w:line="276" w:lineRule="auto"/>
      <w:ind w:left="1760"/>
    </w:pPr>
    <w:rPr>
      <w:rFonts w:asciiTheme="minorHAnsi" w:eastAsiaTheme="minorHAnsi" w:hAnsiTheme="minorHAnsi" w:cstheme="minorBidi"/>
      <w:sz w:val="22"/>
      <w:szCs w:val="22"/>
      <w:lang w:eastAsia="en-US"/>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line="276" w:lineRule="auto"/>
    </w:pPr>
    <w:rPr>
      <w:rFonts w:asciiTheme="minorHAnsi" w:eastAsiaTheme="minorHAnsi" w:hAnsiTheme="minorHAnsi" w:cstheme="minorBidi"/>
      <w:sz w:val="22"/>
      <w:szCs w:val="22"/>
      <w:lang w:eastAsia="en-US"/>
    </w:rPr>
  </w:style>
  <w:style w:type="paragraph" w:styleId="Sansinterligne">
    <w:name w:val="No Spacing"/>
    <w:basedOn w:val="Normal"/>
    <w:uiPriority w:val="1"/>
    <w:qFormat/>
    <w:rPr>
      <w:rFonts w:asciiTheme="minorHAnsi" w:eastAsiaTheme="minorHAnsi" w:hAnsiTheme="minorHAnsi" w:cstheme="minorBidi"/>
      <w:sz w:val="22"/>
      <w:szCs w:val="22"/>
      <w:lang w:eastAsia="en-US"/>
    </w:rPr>
  </w:style>
  <w:style w:type="paragraph" w:styleId="Paragraphedeliste">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eastAsia="en-US"/>
    </w:rPr>
  </w:style>
  <w:style w:type="paragraph" w:styleId="Commentaire">
    <w:name w:val="annotation text"/>
    <w:basedOn w:val="Normal"/>
    <w:link w:val="CommentaireCar"/>
    <w:uiPriority w:val="99"/>
    <w:semiHidden/>
    <w:unhideWhenUsed/>
    <w:pPr>
      <w:spacing w:after="20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114C2E"/>
  </w:style>
  <w:style w:type="paragraph" w:styleId="Objetducommentaire">
    <w:name w:val="annotation subject"/>
    <w:basedOn w:val="Commentaire"/>
    <w:next w:val="Commentaire"/>
    <w:link w:val="ObjetducommentaireCar"/>
    <w:uiPriority w:val="99"/>
    <w:semiHidden/>
    <w:unhideWhenUsed/>
    <w:rsid w:val="00114C2E"/>
    <w:rPr>
      <w:b/>
      <w:bCs/>
    </w:rPr>
  </w:style>
  <w:style w:type="character" w:customStyle="1" w:styleId="ObjetducommentaireCar">
    <w:name w:val="Objet du commentaire Car"/>
    <w:basedOn w:val="CommentaireCar"/>
    <w:link w:val="Objetducommentaire"/>
    <w:uiPriority w:val="99"/>
    <w:semiHidden/>
    <w:rsid w:val="00114C2E"/>
    <w:rPr>
      <w:b/>
      <w:bCs/>
      <w:sz w:val="20"/>
      <w:szCs w:val="20"/>
    </w:rPr>
  </w:style>
  <w:style w:type="paragraph" w:styleId="Textedebulles">
    <w:name w:val="Balloon Text"/>
    <w:basedOn w:val="Normal"/>
    <w:link w:val="TextedebullesCar"/>
    <w:uiPriority w:val="99"/>
    <w:semiHidden/>
    <w:unhideWhenUsed/>
    <w:rsid w:val="00CF00E6"/>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CF00E6"/>
    <w:rPr>
      <w:rFonts w:ascii="Times New Roman" w:hAnsi="Times New Roman" w:cs="Times New Roman"/>
      <w:sz w:val="18"/>
      <w:szCs w:val="18"/>
    </w:rPr>
  </w:style>
  <w:style w:type="character" w:styleId="Mentionnonrsolue">
    <w:name w:val="Unresolved Mention"/>
    <w:basedOn w:val="Policepardfaut"/>
    <w:uiPriority w:val="99"/>
    <w:semiHidden/>
    <w:unhideWhenUsed/>
    <w:rsid w:val="00703482"/>
    <w:rPr>
      <w:color w:val="605E5C"/>
      <w:shd w:val="clear" w:color="auto" w:fill="E1DFDD"/>
    </w:rPr>
  </w:style>
  <w:style w:type="paragraph" w:customStyle="1" w:styleId="Bibliographie1">
    <w:name w:val="Bibliographie1"/>
    <w:basedOn w:val="Normal"/>
    <w:link w:val="BibliographyCar"/>
    <w:rsid w:val="00DC6566"/>
    <w:pPr>
      <w:pBdr>
        <w:top w:val="none" w:sz="4" w:space="0" w:color="000000"/>
        <w:left w:val="none" w:sz="4" w:space="0" w:color="000000"/>
        <w:bottom w:val="none" w:sz="4" w:space="0" w:color="000000"/>
        <w:right w:val="none" w:sz="4" w:space="0" w:color="000000"/>
      </w:pBdr>
      <w:ind w:left="720" w:hanging="720"/>
      <w:jc w:val="both"/>
    </w:pPr>
    <w:rPr>
      <w:color w:val="000000"/>
      <w:szCs w:val="22"/>
      <w:lang w:eastAsia="en-US"/>
    </w:rPr>
  </w:style>
  <w:style w:type="character" w:customStyle="1" w:styleId="BibliographyCar">
    <w:name w:val="Bibliography Car"/>
    <w:basedOn w:val="Policepardfaut"/>
    <w:link w:val="Bibliographie1"/>
    <w:rsid w:val="00DC6566"/>
    <w:rPr>
      <w:rFonts w:ascii="Times New Roman" w:eastAsia="Times New Roman" w:hAnsi="Times New Roman" w:cs="Times New Roman"/>
      <w:color w:val="000000"/>
      <w:sz w:val="24"/>
      <w:lang w:val="en-US"/>
    </w:rPr>
  </w:style>
  <w:style w:type="paragraph" w:styleId="PrformatHTML">
    <w:name w:val="HTML Preformatted"/>
    <w:basedOn w:val="Normal"/>
    <w:link w:val="PrformatHTMLCar"/>
    <w:uiPriority w:val="99"/>
    <w:unhideWhenUsed/>
    <w:rsid w:val="00822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221A0"/>
    <w:rPr>
      <w:rFonts w:ascii="Courier New" w:eastAsia="Times New Roman" w:hAnsi="Courier New" w:cs="Courier New"/>
      <w:sz w:val="20"/>
      <w:szCs w:val="20"/>
      <w:lang w:eastAsia="fr-FR"/>
    </w:rPr>
  </w:style>
  <w:style w:type="character" w:styleId="Textedelespacerserv">
    <w:name w:val="Placeholder Text"/>
    <w:basedOn w:val="Policepardfaut"/>
    <w:uiPriority w:val="99"/>
    <w:semiHidden/>
    <w:rsid w:val="009A4093"/>
    <w:rPr>
      <w:color w:val="808080"/>
    </w:rPr>
  </w:style>
  <w:style w:type="paragraph" w:styleId="NormalWeb">
    <w:name w:val="Normal (Web)"/>
    <w:basedOn w:val="Normal"/>
    <w:uiPriority w:val="99"/>
    <w:semiHidden/>
    <w:unhideWhenUsed/>
    <w:rsid w:val="00B630E7"/>
    <w:pPr>
      <w:spacing w:before="100" w:beforeAutospacing="1" w:after="100" w:afterAutospacing="1"/>
    </w:pPr>
  </w:style>
  <w:style w:type="paragraph" w:styleId="Textebrut">
    <w:name w:val="Plain Text"/>
    <w:basedOn w:val="Normal"/>
    <w:link w:val="TextebrutCar"/>
    <w:uiPriority w:val="99"/>
    <w:unhideWhenUsed/>
    <w:rsid w:val="00B42600"/>
    <w:rPr>
      <w:rFonts w:ascii="Consolas" w:eastAsiaTheme="minorHAnsi" w:hAnsi="Consolas" w:cs="Consolas"/>
      <w:sz w:val="21"/>
      <w:szCs w:val="21"/>
      <w:lang w:eastAsia="en-US"/>
    </w:rPr>
  </w:style>
  <w:style w:type="character" w:customStyle="1" w:styleId="TextebrutCar">
    <w:name w:val="Texte brut Car"/>
    <w:basedOn w:val="Policepardfaut"/>
    <w:link w:val="Textebrut"/>
    <w:uiPriority w:val="99"/>
    <w:rsid w:val="00B42600"/>
    <w:rPr>
      <w:rFonts w:ascii="Consolas" w:hAnsi="Consolas" w:cs="Consolas"/>
      <w:sz w:val="21"/>
      <w:szCs w:val="21"/>
    </w:rPr>
  </w:style>
  <w:style w:type="character" w:customStyle="1" w:styleId="apple-converted-space">
    <w:name w:val="apple-converted-space"/>
    <w:basedOn w:val="Policepardfaut"/>
    <w:rsid w:val="003159C7"/>
  </w:style>
  <w:style w:type="character" w:styleId="Numrodeligne">
    <w:name w:val="line number"/>
    <w:basedOn w:val="Policepardfaut"/>
    <w:uiPriority w:val="99"/>
    <w:semiHidden/>
    <w:unhideWhenUsed/>
    <w:rsid w:val="00C87226"/>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yVDbFJw5EPeG8/Ec9jgJo0P7yg==">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4C392BC-1E2F-9947-B8B7-AF2DC9A29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1461</Words>
  <Characters>8670</Characters>
  <Application>Microsoft Office Word</Application>
  <DocSecurity>0</DocSecurity>
  <Lines>216</Lines>
  <Paragraphs>68</Paragraphs>
  <ScaleCrop>false</ScaleCrop>
  <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Chave</dc:creator>
  <cp:lastModifiedBy>Gabriel Hes</cp:lastModifiedBy>
  <cp:revision>3</cp:revision>
  <dcterms:created xsi:type="dcterms:W3CDTF">2025-02-25T16:37:00Z</dcterms:created>
  <dcterms:modified xsi:type="dcterms:W3CDTF">2025-06-16T09:58:00Z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id="S9TSOPdx"/&gt;&lt;style id="http://www.zotero.org/styles/chicago-author-date" locale="en-US" hasBibliography="1" bibliographyStyleHasBeenSet="1"/&gt;&lt;prefs&gt;&lt;pref name="fieldType" value="Field"/&gt;&lt;/prefs&gt;&lt;/</vt:lpwstr>
  </property>
  <property fmtid="{D5CDD505-2E9C-101B-9397-08002B2CF9AE}" pid="3" name="ZOTERO_PREF_2">
    <vt:lpwstr>data&gt;</vt:lpwstr>
  </property>
</Properties>
</file>