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512DF" w14:textId="77777777" w:rsidR="00127999" w:rsidRPr="009408F9" w:rsidRDefault="00127999" w:rsidP="00127999">
      <w:pPr>
        <w:pStyle w:val="CCGsubheadblue"/>
        <w:rPr>
          <w:lang w:val="en-GB"/>
        </w:rPr>
      </w:pPr>
      <w:bookmarkStart w:id="0" w:name="_Toc70699818"/>
      <w:r w:rsidRPr="009408F9">
        <w:rPr>
          <w:lang w:val="en-GB"/>
        </w:rPr>
        <w:t>Appendices</w:t>
      </w:r>
      <w:bookmarkEnd w:id="0"/>
      <w:r w:rsidRPr="009408F9">
        <w:rPr>
          <w:lang w:val="en-GB"/>
        </w:rPr>
        <w:t xml:space="preserve"> </w:t>
      </w:r>
    </w:p>
    <w:p w14:paraId="2B61DB24" w14:textId="77777777" w:rsidR="00127999" w:rsidRPr="009408F9" w:rsidRDefault="00127999" w:rsidP="00127999">
      <w:pPr>
        <w:pStyle w:val="CCGheading2"/>
        <w:rPr>
          <w:lang w:val="en-GB"/>
        </w:rPr>
      </w:pPr>
      <w:bookmarkStart w:id="1" w:name="_Toc70699819"/>
      <w:r w:rsidRPr="009408F9">
        <w:rPr>
          <w:lang w:val="en-GB"/>
        </w:rPr>
        <w:t>Appendix A: Model structure</w:t>
      </w:r>
      <w:bookmarkEnd w:id="1"/>
    </w:p>
    <w:p w14:paraId="6420BDA8" w14:textId="77777777" w:rsidR="00127999" w:rsidRPr="005B3D5F" w:rsidRDefault="00127999" w:rsidP="00127999">
      <w:pPr>
        <w:pStyle w:val="CCGbodycopy"/>
      </w:pPr>
      <w:r w:rsidRPr="005B3D5F">
        <w:t xml:space="preserve">A linear optimisation model of a combined India-GCC power system was developed using </w:t>
      </w:r>
      <w:proofErr w:type="spellStart"/>
      <w:r w:rsidRPr="005B3D5F">
        <w:t>OSeMOSYS</w:t>
      </w:r>
      <w:proofErr w:type="spellEnd"/>
      <w:r w:rsidRPr="005B3D5F">
        <w:t xml:space="preserve">, an </w:t>
      </w:r>
      <w:r w:rsidRPr="005B3D5F">
        <w:rPr>
          <w:b/>
        </w:rPr>
        <w:t>open-source</w:t>
      </w:r>
      <w:r w:rsidRPr="005B3D5F">
        <w:t xml:space="preserve"> energy system modelling tool. The model scope was as follows:</w:t>
      </w:r>
    </w:p>
    <w:p w14:paraId="5718BE1B" w14:textId="77777777" w:rsidR="00127999" w:rsidRPr="001F1E4D" w:rsidRDefault="00127999" w:rsidP="00127999">
      <w:pPr>
        <w:pStyle w:val="CCGbodycopy"/>
        <w:rPr>
          <w:u w:val="single"/>
        </w:rPr>
      </w:pPr>
      <w:r w:rsidRPr="001F1E4D">
        <w:rPr>
          <w:u w:val="single"/>
        </w:rPr>
        <w:t>Geographic scope (14 regions):</w:t>
      </w:r>
    </w:p>
    <w:p w14:paraId="6B41F71C" w14:textId="77777777" w:rsidR="00127999" w:rsidRPr="005B3D5F" w:rsidRDefault="00127999" w:rsidP="00127999">
      <w:pPr>
        <w:pStyle w:val="CCGbodycopy"/>
      </w:pPr>
      <w:r w:rsidRPr="005B3D5F">
        <w:t>Bahrain, Kuwait, Oman, Qatar, Saudi Arabia (4 regions), UAE</w:t>
      </w:r>
    </w:p>
    <w:p w14:paraId="5CB1DD30" w14:textId="77777777" w:rsidR="00127999" w:rsidRPr="005B3D5F" w:rsidRDefault="00127999" w:rsidP="00127999">
      <w:pPr>
        <w:pStyle w:val="CCGbodycopy"/>
      </w:pPr>
      <w:r w:rsidRPr="005B3D5F">
        <w:t>India (5 regions)</w:t>
      </w:r>
    </w:p>
    <w:p w14:paraId="2E7F698F" w14:textId="77777777" w:rsidR="00127999" w:rsidRPr="005B3D5F" w:rsidRDefault="00127999" w:rsidP="00127999">
      <w:pPr>
        <w:pStyle w:val="CCGbodycopy"/>
      </w:pPr>
      <w:r w:rsidRPr="001F1E4D">
        <w:rPr>
          <w:u w:val="single"/>
        </w:rPr>
        <w:t>Powerplant technologies (14 types):</w:t>
      </w:r>
      <w:r w:rsidRPr="005B3D5F">
        <w:t xml:space="preserve"> Coal, Natural Gas, Oil, Diesel, Waste, Biomass, Hydro, Geothermal, Wind, Solar photovoltaics, Concentrating Solar Power, Wind, Wave, and Nuclear </w:t>
      </w:r>
    </w:p>
    <w:p w14:paraId="690154BC" w14:textId="77777777" w:rsidR="00127999" w:rsidRPr="005B3D5F" w:rsidRDefault="00127999" w:rsidP="00127999">
      <w:pPr>
        <w:pStyle w:val="CCGbodycopy"/>
      </w:pPr>
      <w:r w:rsidRPr="001F1E4D">
        <w:rPr>
          <w:u w:val="single"/>
        </w:rPr>
        <w:t>Time resolution (96 representative ‘time slices’):</w:t>
      </w:r>
      <w:r w:rsidRPr="005B3D5F">
        <w:t xml:space="preserve"> 24 hours, 4 seasons </w:t>
      </w:r>
    </w:p>
    <w:p w14:paraId="731C9C91" w14:textId="77777777" w:rsidR="00127999" w:rsidRPr="005B3D5F" w:rsidRDefault="00127999" w:rsidP="00127999">
      <w:pPr>
        <w:pStyle w:val="CCGbodycopy"/>
      </w:pPr>
      <w:r w:rsidRPr="001F1E4D">
        <w:rPr>
          <w:u w:val="single"/>
        </w:rPr>
        <w:t>Model horizon:</w:t>
      </w:r>
      <w:r w:rsidRPr="005B3D5F">
        <w:t xml:space="preserve"> 2015-2050</w:t>
      </w:r>
    </w:p>
    <w:p w14:paraId="2BAF5293" w14:textId="77777777" w:rsidR="00127999" w:rsidRDefault="00127999" w:rsidP="00127999">
      <w:pPr>
        <w:pStyle w:val="CCGbodycopy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A2B44F3" wp14:editId="7900EB3A">
            <wp:simplePos x="0" y="0"/>
            <wp:positionH relativeFrom="column">
              <wp:posOffset>-531177</wp:posOffset>
            </wp:positionH>
            <wp:positionV relativeFrom="paragraph">
              <wp:posOffset>-1250156</wp:posOffset>
            </wp:positionV>
            <wp:extent cx="7550150" cy="10669905"/>
            <wp:effectExtent l="0" t="0" r="0" b="0"/>
            <wp:wrapNone/>
            <wp:docPr id="1908891011" name="Picture 1908891011" descr="A picture containing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rectang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3D5F">
        <w:t>A simplified structure of the model is shown below.</w:t>
      </w:r>
    </w:p>
    <w:p w14:paraId="7FFF9A74" w14:textId="77777777" w:rsidR="00127999" w:rsidRPr="0035620B" w:rsidRDefault="00127999" w:rsidP="00127999">
      <w:pPr>
        <w:pStyle w:val="CCGbodycopy"/>
        <w:rPr>
          <w:rStyle w:val="CCGfigurecaptionbold"/>
          <w:sz w:val="16"/>
          <w:szCs w:val="16"/>
        </w:rPr>
      </w:pPr>
      <w:r w:rsidRPr="0035620B">
        <w:rPr>
          <w:rStyle w:val="CCGfigurecaptionbold"/>
          <w:noProof/>
          <w:sz w:val="16"/>
          <w:szCs w:val="16"/>
        </w:rPr>
        <w:drawing>
          <wp:anchor distT="0" distB="0" distL="114300" distR="114300" simplePos="0" relativeHeight="251659264" behindDoc="0" locked="1" layoutInCell="1" allowOverlap="1" wp14:anchorId="334CFED1" wp14:editId="2BD85D63">
            <wp:simplePos x="0" y="0"/>
            <wp:positionH relativeFrom="margin">
              <wp:align>left</wp:align>
            </wp:positionH>
            <wp:positionV relativeFrom="paragraph">
              <wp:posOffset>154940</wp:posOffset>
            </wp:positionV>
            <wp:extent cx="5036185" cy="245872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20B">
        <w:rPr>
          <w:rStyle w:val="CCGfigurecaptionbold"/>
          <w:sz w:val="16"/>
          <w:szCs w:val="16"/>
        </w:rPr>
        <w:t xml:space="preserve">Figure </w:t>
      </w:r>
      <w:r w:rsidRPr="0035620B">
        <w:rPr>
          <w:rStyle w:val="CCGfigurecaptionbold"/>
          <w:sz w:val="16"/>
          <w:szCs w:val="16"/>
        </w:rPr>
        <w:fldChar w:fldCharType="begin"/>
      </w:r>
      <w:r w:rsidRPr="0035620B">
        <w:rPr>
          <w:rStyle w:val="CCGfigurecaptionbold"/>
          <w:sz w:val="16"/>
          <w:szCs w:val="16"/>
        </w:rPr>
        <w:instrText xml:space="preserve"> SEQ Figure \* ARABIC </w:instrText>
      </w:r>
      <w:r w:rsidRPr="0035620B">
        <w:rPr>
          <w:rStyle w:val="CCGfigurecaptionbold"/>
          <w:sz w:val="16"/>
          <w:szCs w:val="16"/>
        </w:rPr>
        <w:fldChar w:fldCharType="separate"/>
      </w:r>
      <w:r>
        <w:rPr>
          <w:rStyle w:val="CCGfigurecaptionbold"/>
          <w:noProof/>
          <w:sz w:val="16"/>
          <w:szCs w:val="16"/>
        </w:rPr>
        <w:t>12</w:t>
      </w:r>
      <w:r w:rsidRPr="0035620B">
        <w:rPr>
          <w:rStyle w:val="CCGfigurecaptionbold"/>
          <w:sz w:val="16"/>
          <w:szCs w:val="16"/>
        </w:rPr>
        <w:fldChar w:fldCharType="end"/>
      </w:r>
      <w:r w:rsidRPr="0035620B">
        <w:rPr>
          <w:rStyle w:val="CCGfigurecaptionbold"/>
          <w:sz w:val="16"/>
          <w:szCs w:val="16"/>
        </w:rPr>
        <w:t>. Simplified model structure</w:t>
      </w:r>
    </w:p>
    <w:p w14:paraId="0BD5582B" w14:textId="77777777" w:rsidR="00127999" w:rsidRPr="006A7A11" w:rsidRDefault="00127999" w:rsidP="00127999">
      <w:pPr>
        <w:pStyle w:val="CCGbodycopy"/>
        <w:rPr>
          <w:lang w:val="en-US" w:eastAsia="zh-CN"/>
        </w:rPr>
      </w:pPr>
    </w:p>
    <w:p w14:paraId="12A41F33" w14:textId="77777777" w:rsidR="00127999" w:rsidRPr="009408F9" w:rsidRDefault="00127999" w:rsidP="00127999">
      <w:pPr>
        <w:pStyle w:val="CCGheading2"/>
        <w:rPr>
          <w:lang w:val="en-GB"/>
        </w:rPr>
      </w:pPr>
      <w:bookmarkStart w:id="2" w:name="_Toc70699820"/>
      <w:r w:rsidRPr="009408F9">
        <w:rPr>
          <w:lang w:val="en-GB"/>
        </w:rPr>
        <w:t xml:space="preserve">Appendix B: </w:t>
      </w:r>
      <w:r>
        <w:rPr>
          <w:lang w:val="en-GB"/>
        </w:rPr>
        <w:t>Scenario table</w:t>
      </w:r>
      <w:bookmarkEnd w:id="2"/>
      <w:r w:rsidRPr="009408F9">
        <w:rPr>
          <w:lang w:val="en-GB"/>
        </w:rPr>
        <w:t xml:space="preserve"> </w:t>
      </w:r>
    </w:p>
    <w:p w14:paraId="3D4D9622" w14:textId="77777777" w:rsidR="00127999" w:rsidRPr="009408F9" w:rsidRDefault="00127999" w:rsidP="00127999">
      <w:pPr>
        <w:pStyle w:val="CCGfigurecaption"/>
      </w:pPr>
      <w:r w:rsidRPr="009408F9">
        <w:rPr>
          <w:b/>
          <w:bCs/>
        </w:rPr>
        <w:t xml:space="preserve">Table </w:t>
      </w:r>
      <w:r w:rsidRPr="009408F9">
        <w:rPr>
          <w:b/>
          <w:bCs/>
        </w:rPr>
        <w:fldChar w:fldCharType="begin"/>
      </w:r>
      <w:r w:rsidRPr="009408F9">
        <w:rPr>
          <w:b/>
          <w:bCs/>
        </w:rPr>
        <w:instrText xml:space="preserve"> SEQ Table \* ARABIC </w:instrText>
      </w:r>
      <w:r w:rsidRPr="009408F9">
        <w:rPr>
          <w:b/>
          <w:bCs/>
        </w:rPr>
        <w:fldChar w:fldCharType="separate"/>
      </w:r>
      <w:r>
        <w:rPr>
          <w:b/>
          <w:bCs/>
          <w:noProof/>
        </w:rPr>
        <w:t>5</w:t>
      </w:r>
      <w:r w:rsidRPr="009408F9">
        <w:rPr>
          <w:b/>
          <w:bCs/>
        </w:rPr>
        <w:fldChar w:fldCharType="end"/>
      </w:r>
      <w:r w:rsidRPr="009408F9">
        <w:rPr>
          <w:b/>
          <w:bCs/>
        </w:rPr>
        <w:t xml:space="preserve">. </w:t>
      </w:r>
      <w:r w:rsidRPr="009408F9">
        <w:t xml:space="preserve">Summary of twenty-five 'samples' covering the ranges of cost </w:t>
      </w:r>
      <w:proofErr w:type="gramStart"/>
      <w:r w:rsidRPr="009408F9">
        <w:t>variables</w:t>
      </w:r>
      <w:proofErr w:type="gramEnd"/>
    </w:p>
    <w:tbl>
      <w:tblPr>
        <w:tblW w:w="8041" w:type="dxa"/>
        <w:tblLook w:val="04A0" w:firstRow="1" w:lastRow="0" w:firstColumn="1" w:lastColumn="0" w:noHBand="0" w:noVBand="1"/>
      </w:tblPr>
      <w:tblGrid>
        <w:gridCol w:w="879"/>
        <w:gridCol w:w="1693"/>
        <w:gridCol w:w="1843"/>
        <w:gridCol w:w="1842"/>
        <w:gridCol w:w="1784"/>
      </w:tblGrid>
      <w:tr w:rsidR="00127999" w:rsidRPr="009408F9" w14:paraId="37DE9B32" w14:textId="77777777" w:rsidTr="00203C71">
        <w:trPr>
          <w:trHeight w:val="300"/>
        </w:trPr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6F7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  <w:t>Sample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11AC3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9408F9"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  <w:t>CapitalCost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CAD7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9408F9"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  <w:t>DiscountRate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6929B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9408F9"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  <w:t>DiscountRateIdv</w:t>
            </w:r>
            <w:proofErr w:type="spellEnd"/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13E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9408F9"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  <w:t>FixedCostPercent</w:t>
            </w:r>
            <w:proofErr w:type="spellEnd"/>
          </w:p>
        </w:tc>
      </w:tr>
      <w:tr w:rsidR="00127999" w:rsidRPr="009408F9" w14:paraId="1A2831E1" w14:textId="77777777" w:rsidTr="00203C71">
        <w:trPr>
          <w:trHeight w:val="300"/>
        </w:trPr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9BB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0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969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507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F43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5.78%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D7D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5.07%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6EB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1.5%</w:t>
            </w:r>
          </w:p>
        </w:tc>
      </w:tr>
      <w:tr w:rsidR="00127999" w:rsidRPr="009408F9" w14:paraId="3D396701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335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901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1703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682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7.78%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EF7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6.03%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A59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1.7%</w:t>
            </w:r>
          </w:p>
        </w:tc>
      </w:tr>
      <w:tr w:rsidR="00127999" w:rsidRPr="009408F9" w14:paraId="4A0FF8F5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6B9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F1E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1548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A673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6.13%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811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9.12%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233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1.6%</w:t>
            </w:r>
          </w:p>
        </w:tc>
      </w:tr>
      <w:tr w:rsidR="00127999" w:rsidRPr="009408F9" w14:paraId="45F64114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BD5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D4B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1396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EC8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8.87%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1F6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8.04%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924B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2.0%</w:t>
            </w:r>
          </w:p>
        </w:tc>
      </w:tr>
      <w:tr w:rsidR="00127999" w:rsidRPr="009408F9" w14:paraId="10952B2A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839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4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243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AB6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5.30%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06A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7.64%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062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1.6%</w:t>
            </w:r>
          </w:p>
        </w:tc>
      </w:tr>
      <w:tr w:rsidR="00127999" w:rsidRPr="009408F9" w14:paraId="61FBCD40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9CA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C8C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1445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670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5.85%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CD8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6.57%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D1E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1.8%</w:t>
            </w:r>
          </w:p>
        </w:tc>
      </w:tr>
      <w:tr w:rsidR="00127999" w:rsidRPr="009408F9" w14:paraId="62A6C999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FDB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6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642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1573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B34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8.61%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DB2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9.23%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174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1.5%</w:t>
            </w:r>
          </w:p>
        </w:tc>
      </w:tr>
      <w:tr w:rsidR="00127999" w:rsidRPr="009408F9" w14:paraId="66E0C0CC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F09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7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7E7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1301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92D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8.22%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EBA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7.00%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FE1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1.3%</w:t>
            </w:r>
          </w:p>
        </w:tc>
      </w:tr>
      <w:tr w:rsidR="00127999" w:rsidRPr="009408F9" w14:paraId="06EECF34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496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8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881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1981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04B3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6.84%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0F0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7.57%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951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1.4%</w:t>
            </w:r>
          </w:p>
        </w:tc>
      </w:tr>
      <w:tr w:rsidR="00127999" w:rsidRPr="009408F9" w14:paraId="4B3A5F10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BFC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lastRenderedPageBreak/>
              <w:t>9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1BF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A0A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9.25%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495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6.94%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754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1.4%</w:t>
            </w:r>
          </w:p>
        </w:tc>
      </w:tr>
      <w:tr w:rsidR="00127999" w:rsidRPr="009408F9" w14:paraId="4ADC8CDA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D81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10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6D5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1043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F9B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9.57%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1ADB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9.89%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059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1.5%</w:t>
            </w:r>
          </w:p>
        </w:tc>
      </w:tr>
      <w:tr w:rsidR="00127999" w:rsidRPr="009408F9" w14:paraId="64F64339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66B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DE1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D1A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8.44%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4F82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9.46%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161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1.6%</w:t>
            </w:r>
          </w:p>
        </w:tc>
      </w:tr>
      <w:tr w:rsidR="00127999" w:rsidRPr="009408F9" w14:paraId="519918C3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DDD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404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1192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9BB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5.41%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C233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8.26%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0F0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1.9%</w:t>
            </w:r>
          </w:p>
        </w:tc>
      </w:tr>
      <w:tr w:rsidR="00127999" w:rsidRPr="009408F9" w14:paraId="53302E4C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DFA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13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22A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F70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7.19%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998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5.72%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2BDB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1.9%</w:t>
            </w:r>
          </w:p>
        </w:tc>
      </w:tr>
      <w:tr w:rsidR="00127999" w:rsidRPr="009408F9" w14:paraId="3234126F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0D3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14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27F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E3B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8.18%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5A5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5.39%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8F74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1.7%</w:t>
            </w:r>
          </w:p>
        </w:tc>
      </w:tr>
      <w:tr w:rsidR="00127999" w:rsidRPr="009408F9" w14:paraId="379C93E9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3F62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15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269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1655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E14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6.50%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1F0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8.50%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340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1.3%</w:t>
            </w:r>
          </w:p>
        </w:tc>
      </w:tr>
      <w:tr w:rsidR="00127999" w:rsidRPr="009408F9" w14:paraId="354967AF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214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16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175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1911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FC1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7.36%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597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6.72%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544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1.8%</w:t>
            </w:r>
          </w:p>
        </w:tc>
      </w:tr>
      <w:tr w:rsidR="00127999" w:rsidRPr="009408F9" w14:paraId="76D8236F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8561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17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CE2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1808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87E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9.08%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A68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6.21%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668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1.2%</w:t>
            </w:r>
          </w:p>
        </w:tc>
      </w:tr>
      <w:tr w:rsidR="00127999" w:rsidRPr="009408F9" w14:paraId="0D62CFEB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4EF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18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141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F00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9.67%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1A6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9.67%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B84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1.3%</w:t>
            </w:r>
          </w:p>
        </w:tc>
      </w:tr>
      <w:tr w:rsidR="00127999" w:rsidRPr="009408F9" w14:paraId="1B865948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267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19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70A3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1094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C2A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6.26%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602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5.83%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C91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2.0%</w:t>
            </w:r>
          </w:p>
        </w:tc>
      </w:tr>
      <w:tr w:rsidR="00127999" w:rsidRPr="009408F9" w14:paraId="17C6F510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E4F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20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A2D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1333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DF4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5.02%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AA7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5.55%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905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1.3%</w:t>
            </w:r>
          </w:p>
        </w:tc>
      </w:tr>
      <w:tr w:rsidR="00127999" w:rsidRPr="009408F9" w14:paraId="73A83D7E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1FE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F0DC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1247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D8C7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9.86%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0E42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8.86%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A3C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2.0%</w:t>
            </w:r>
          </w:p>
        </w:tc>
      </w:tr>
      <w:tr w:rsidR="00127999" w:rsidRPr="009408F9" w14:paraId="4C2F10D7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C050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D4B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0FCE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7.92%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027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7.39%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64A6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2.1%</w:t>
            </w:r>
          </w:p>
        </w:tc>
      </w:tr>
      <w:tr w:rsidR="00127999" w:rsidRPr="009408F9" w14:paraId="7C105F5D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EE7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23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9DCFD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1843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B19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6.71%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072F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8.69%</w:t>
            </w:r>
          </w:p>
        </w:tc>
        <w:tc>
          <w:tcPr>
            <w:tcW w:w="1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A1F8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2.0%</w:t>
            </w:r>
          </w:p>
        </w:tc>
      </w:tr>
      <w:tr w:rsidR="00127999" w:rsidRPr="009408F9" w14:paraId="4B4E3920" w14:textId="77777777" w:rsidTr="00203C71">
        <w:trPr>
          <w:trHeight w:val="300"/>
        </w:trPr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5C70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GB"/>
              </w:rPr>
            </w:pPr>
            <w:r w:rsidRPr="009408F9">
              <w:rPr>
                <w:rFonts w:ascii="Verdana" w:hAnsi="Verdana"/>
                <w:sz w:val="16"/>
                <w:szCs w:val="16"/>
              </w:rPr>
              <w:t>24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1ECA9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0DD2B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7.59%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1A94A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7.84%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86095" w14:textId="77777777" w:rsidR="00127999" w:rsidRPr="009408F9" w:rsidRDefault="00127999" w:rsidP="00203C71">
            <w:pPr>
              <w:spacing w:line="240" w:lineRule="auto"/>
              <w:jc w:val="center"/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</w:pPr>
            <w:r w:rsidRPr="009408F9">
              <w:rPr>
                <w:rFonts w:ascii="Verdana" w:eastAsia="Times New Roman" w:hAnsi="Verdana" w:cs="Calibri"/>
                <w:sz w:val="16"/>
                <w:szCs w:val="16"/>
                <w:lang w:eastAsia="en-GB"/>
              </w:rPr>
              <w:t>1.8%</w:t>
            </w:r>
          </w:p>
        </w:tc>
      </w:tr>
    </w:tbl>
    <w:p w14:paraId="12F26A5A" w14:textId="77777777" w:rsidR="00127999" w:rsidRPr="009408F9" w:rsidRDefault="00127999" w:rsidP="00127999">
      <w:pPr>
        <w:pStyle w:val="CCGbodycopy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683610E" wp14:editId="192F1182">
            <wp:simplePos x="0" y="0"/>
            <wp:positionH relativeFrom="column">
              <wp:posOffset>-536416</wp:posOffset>
            </wp:positionH>
            <wp:positionV relativeFrom="paragraph">
              <wp:posOffset>-1452404</wp:posOffset>
            </wp:positionV>
            <wp:extent cx="7550150" cy="10669905"/>
            <wp:effectExtent l="0" t="0" r="0" b="0"/>
            <wp:wrapNone/>
            <wp:docPr id="1908891012" name="Picture 1908891012" descr="A picture containing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rectang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E6BD7B" w14:textId="77777777" w:rsidR="00127999" w:rsidRDefault="00127999" w:rsidP="00127999">
      <w:pPr>
        <w:pStyle w:val="CCGheading2"/>
      </w:pPr>
      <w:bookmarkStart w:id="3" w:name="_Toc70699821"/>
      <w:r>
        <w:lastRenderedPageBreak/>
        <w:t>Appendix C: Risk Sensitivity</w:t>
      </w:r>
      <w:bookmarkEnd w:id="3"/>
    </w:p>
    <w:p w14:paraId="47002021" w14:textId="77777777" w:rsidR="00127999" w:rsidRDefault="00127999" w:rsidP="00127999">
      <w:pPr>
        <w:pStyle w:val="CCGbodycopy"/>
        <w:keepNext/>
      </w:pPr>
      <w:r>
        <w:rPr>
          <w:noProof/>
          <w:lang w:val="en-US" w:eastAsia="zh-CN"/>
        </w:rPr>
        <w:drawing>
          <wp:inline distT="0" distB="0" distL="0" distR="0" wp14:anchorId="3DBF5D47" wp14:editId="716A3758">
            <wp:extent cx="6527165" cy="6663610"/>
            <wp:effectExtent l="0" t="0" r="6985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1" t="9659" r="9280" b="7007"/>
                    <a:stretch/>
                  </pic:blipFill>
                  <pic:spPr bwMode="auto">
                    <a:xfrm>
                      <a:off x="0" y="0"/>
                      <a:ext cx="6536163" cy="667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BD48AD" w14:textId="5F0B9C6E" w:rsidR="00127999" w:rsidRPr="00554773" w:rsidRDefault="00127999" w:rsidP="00127999">
      <w:pPr>
        <w:pStyle w:val="Caption"/>
        <w:jc w:val="center"/>
        <w:rPr>
          <w:b w:val="0"/>
          <w:bCs w:val="0"/>
          <w:lang w:val="en-US"/>
        </w:rPr>
      </w:pPr>
      <w:bookmarkStart w:id="4" w:name="_Ref68727536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13</w:t>
      </w:r>
      <w:r>
        <w:fldChar w:fldCharType="end"/>
      </w:r>
      <w:bookmarkEnd w:id="4"/>
      <w:r>
        <w:t xml:space="preserve">: </w:t>
      </w:r>
      <w:r>
        <w:rPr>
          <w:b w:val="0"/>
          <w:bCs w:val="0"/>
        </w:rPr>
        <w:t>NPV impairment due to interdiction of CAPEX, OPEX, and revenue</w:t>
      </w:r>
    </w:p>
    <w:p w14:paraId="396A28E4" w14:textId="359A0577" w:rsidR="00127999" w:rsidRDefault="00127999" w:rsidP="00127999"/>
    <w:sectPr w:rsidR="001279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999"/>
    <w:rsid w:val="0012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531BF"/>
  <w15:chartTrackingRefBased/>
  <w15:docId w15:val="{7DBFF3E5-7E2D-4DEC-AD17-6D0B0DBC8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799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9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CGbodycopy">
    <w:name w:val="CCG body copy"/>
    <w:basedOn w:val="Normal"/>
    <w:link w:val="CCGbodycopyChar"/>
    <w:qFormat/>
    <w:rsid w:val="00127999"/>
    <w:pPr>
      <w:snapToGrid w:val="0"/>
      <w:spacing w:beforeLines="40" w:before="96" w:after="10" w:line="240" w:lineRule="auto"/>
    </w:pPr>
    <w:rPr>
      <w:rFonts w:ascii="Verdana" w:eastAsia="Times New Roman" w:hAnsi="Verdana"/>
      <w:snapToGrid w:val="0"/>
      <w:sz w:val="18"/>
      <w:szCs w:val="18"/>
      <w:lang w:eastAsia="de-DE" w:bidi="en-US"/>
    </w:rPr>
  </w:style>
  <w:style w:type="paragraph" w:customStyle="1" w:styleId="CCGsubheadblue">
    <w:name w:val="CCG subhead (blue)"/>
    <w:basedOn w:val="Heading1"/>
    <w:qFormat/>
    <w:rsid w:val="00127999"/>
    <w:pPr>
      <w:snapToGrid w:val="0"/>
      <w:spacing w:beforeLines="100" w:after="10" w:line="240" w:lineRule="auto"/>
      <w:jc w:val="left"/>
    </w:pPr>
    <w:rPr>
      <w:rFonts w:ascii="Verdana" w:eastAsia="Times New Roman" w:hAnsi="Verdana" w:cs="Times New Roman"/>
      <w:b/>
      <w:snapToGrid w:val="0"/>
      <w:color w:val="9CC2E5" w:themeColor="accent5" w:themeTint="99"/>
      <w:sz w:val="24"/>
      <w:szCs w:val="24"/>
      <w:lang w:val="en-US" w:bidi="en-US"/>
    </w:rPr>
  </w:style>
  <w:style w:type="paragraph" w:customStyle="1" w:styleId="CCGfigurecaption">
    <w:name w:val="CCG_figure_caption"/>
    <w:basedOn w:val="Normal"/>
    <w:qFormat/>
    <w:rsid w:val="00127999"/>
    <w:pPr>
      <w:adjustRightInd w:val="0"/>
      <w:snapToGrid w:val="0"/>
      <w:spacing w:before="120" w:after="240" w:line="276" w:lineRule="auto"/>
      <w:ind w:right="425"/>
    </w:pPr>
    <w:rPr>
      <w:rFonts w:ascii="Verdana" w:eastAsia="Times New Roman" w:hAnsi="Verdana"/>
      <w:sz w:val="16"/>
      <w:szCs w:val="16"/>
      <w:lang w:eastAsia="de-DE" w:bidi="en-US"/>
    </w:rPr>
  </w:style>
  <w:style w:type="character" w:customStyle="1" w:styleId="CCGfigurecaptionbold">
    <w:name w:val="CCG_figure_caption_bold"/>
    <w:basedOn w:val="DefaultParagraphFont"/>
    <w:uiPriority w:val="1"/>
    <w:qFormat/>
    <w:rsid w:val="00127999"/>
    <w:rPr>
      <w:rFonts w:ascii="Verdana" w:hAnsi="Verdana"/>
      <w:b/>
      <w:bCs/>
      <w:sz w:val="18"/>
      <w:szCs w:val="18"/>
    </w:rPr>
  </w:style>
  <w:style w:type="character" w:customStyle="1" w:styleId="CCGbodycopyChar">
    <w:name w:val="CCG body copy Char"/>
    <w:basedOn w:val="DefaultParagraphFont"/>
    <w:link w:val="CCGbodycopy"/>
    <w:rsid w:val="00127999"/>
    <w:rPr>
      <w:rFonts w:ascii="Verdana" w:eastAsia="Times New Roman" w:hAnsi="Verdana" w:cs="Times New Roman"/>
      <w:snapToGrid w:val="0"/>
      <w:color w:val="000000"/>
      <w:sz w:val="18"/>
      <w:szCs w:val="18"/>
      <w:lang w:val="en-GB" w:eastAsia="de-DE" w:bidi="en-US"/>
    </w:rPr>
  </w:style>
  <w:style w:type="paragraph" w:customStyle="1" w:styleId="CCGheading2">
    <w:name w:val="CCG heading 2"/>
    <w:basedOn w:val="Normal"/>
    <w:next w:val="CCGbodycopy"/>
    <w:link w:val="CCGheading2Char"/>
    <w:qFormat/>
    <w:rsid w:val="00127999"/>
    <w:pPr>
      <w:keepNext/>
      <w:keepLines/>
      <w:snapToGrid w:val="0"/>
      <w:spacing w:beforeLines="100" w:before="240" w:after="10" w:line="240" w:lineRule="auto"/>
      <w:jc w:val="left"/>
      <w:outlineLvl w:val="0"/>
    </w:pPr>
    <w:rPr>
      <w:rFonts w:ascii="Verdana" w:eastAsia="Times New Roman" w:hAnsi="Verdana"/>
      <w:b/>
      <w:snapToGrid w:val="0"/>
      <w:color w:val="000000" w:themeColor="text1"/>
      <w:lang w:val="en-US" w:bidi="en-US"/>
    </w:rPr>
  </w:style>
  <w:style w:type="character" w:customStyle="1" w:styleId="CCGheading2Char">
    <w:name w:val="CCG heading 2 Char"/>
    <w:basedOn w:val="DefaultParagraphFont"/>
    <w:link w:val="CCGheading2"/>
    <w:rsid w:val="00127999"/>
    <w:rPr>
      <w:rFonts w:ascii="Verdana" w:eastAsia="Times New Roman" w:hAnsi="Verdana" w:cs="Times New Roman"/>
      <w:b/>
      <w:snapToGrid w:val="0"/>
      <w:color w:val="000000" w:themeColor="text1"/>
      <w:sz w:val="20"/>
      <w:szCs w:val="20"/>
      <w:lang w:eastAsia="zh-CN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2799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127999"/>
    <w:pPr>
      <w:spacing w:after="200" w:line="240" w:lineRule="auto"/>
    </w:pPr>
    <w:rPr>
      <w:rFonts w:ascii="Verdana" w:hAnsi="Verdana"/>
      <w:b/>
      <w:bCs/>
      <w:color w:val="aut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2021-07-08T18:35:00Z</dcterms:created>
  <dcterms:modified xsi:type="dcterms:W3CDTF">2021-07-08T18:35:00Z</dcterms:modified>
</cp:coreProperties>
</file>