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8164F">
      <w:pPr>
        <w:widowControl w:val="0"/>
        <w:spacing w:line="480" w:lineRule="auto"/>
        <w:ind w:firstLine="0" w:firstLineChars="0"/>
        <w:rPr>
          <w:rFonts w:hint="default" w:ascii="Times New Roman" w:hAnsi="Times New Roman" w:eastAsia="宋体" w:cs="Times New Roman"/>
          <w:sz w:val="20"/>
          <w:szCs w:val="20"/>
          <w:shd w:val="clear" w:color="auto" w:fill="auto"/>
        </w:rPr>
      </w:pPr>
      <w:r>
        <w:rPr>
          <w:rFonts w:hint="default" w:ascii="Times New Roman" w:hAnsi="Times New Roman" w:eastAsia="宋体" w:cs="Times New Roman"/>
          <w:b/>
          <w:bCs/>
          <w:sz w:val="20"/>
          <w:szCs w:val="20"/>
          <w:shd w:val="clear" w:color="auto" w:fill="auto"/>
        </w:rPr>
        <w:t xml:space="preserve">Ameliorative effects of </w:t>
      </w:r>
      <w:bookmarkStart w:id="0" w:name="OLE_LINK3"/>
      <w:r>
        <w:rPr>
          <w:rFonts w:hint="default" w:ascii="Times New Roman" w:hAnsi="Times New Roman" w:eastAsia="宋体" w:cs="Times New Roman"/>
          <w:b/>
          <w:bCs/>
          <w:sz w:val="20"/>
          <w:szCs w:val="20"/>
          <w:shd w:val="clear" w:color="auto" w:fill="auto"/>
        </w:rPr>
        <w:t>Urolithin A</w:t>
      </w:r>
      <w:bookmarkEnd w:id="0"/>
      <w:r>
        <w:rPr>
          <w:rFonts w:hint="default" w:ascii="Times New Roman" w:hAnsi="Times New Roman" w:eastAsia="宋体" w:cs="Times New Roman"/>
          <w:b/>
          <w:bCs/>
          <w:sz w:val="20"/>
          <w:szCs w:val="20"/>
          <w:shd w:val="clear" w:color="auto" w:fill="auto"/>
        </w:rPr>
        <w:t xml:space="preserve"> against </w:t>
      </w:r>
      <w:bookmarkStart w:id="1" w:name="OLE_LINK13"/>
      <w:bookmarkStart w:id="2" w:name="OLE_LINK14"/>
      <w:bookmarkStart w:id="3" w:name="OLE_LINK51"/>
      <w:r>
        <w:rPr>
          <w:rFonts w:hint="default" w:ascii="Times New Roman" w:hAnsi="Times New Roman" w:eastAsia="宋体" w:cs="Times New Roman"/>
          <w:b/>
          <w:bCs/>
          <w:sz w:val="20"/>
          <w:szCs w:val="20"/>
          <w:shd w:val="clear" w:color="auto" w:fill="auto"/>
        </w:rPr>
        <w:t>Cadmium</w:t>
      </w:r>
      <w:bookmarkEnd w:id="1"/>
      <w:bookmarkEnd w:id="2"/>
      <w:bookmarkEnd w:id="3"/>
      <w:r>
        <w:rPr>
          <w:rFonts w:hint="default" w:ascii="Times New Roman" w:hAnsi="Times New Roman" w:eastAsia="宋体" w:cs="Times New Roman"/>
          <w:b/>
          <w:bCs/>
          <w:sz w:val="20"/>
          <w:szCs w:val="20"/>
          <w:shd w:val="clear" w:color="auto" w:fill="auto"/>
        </w:rPr>
        <w:t xml:space="preserve">-induced NLRP3-mediated pyroptosis and </w:t>
      </w:r>
      <w:bookmarkStart w:id="4" w:name="OLE_LINK11"/>
      <w:r>
        <w:rPr>
          <w:rFonts w:hint="default" w:ascii="Times New Roman" w:hAnsi="Times New Roman" w:eastAsia="宋体" w:cs="Times New Roman"/>
          <w:b/>
          <w:bCs/>
          <w:sz w:val="20"/>
          <w:szCs w:val="20"/>
          <w:shd w:val="clear" w:color="auto" w:fill="auto"/>
        </w:rPr>
        <w:t>cognitive deficits</w:t>
      </w:r>
      <w:bookmarkEnd w:id="4"/>
      <w:r>
        <w:rPr>
          <w:rFonts w:hint="default" w:ascii="Times New Roman" w:hAnsi="Times New Roman" w:eastAsia="宋体" w:cs="Times New Roman"/>
          <w:b/>
          <w:bCs/>
          <w:sz w:val="20"/>
          <w:szCs w:val="20"/>
          <w:shd w:val="clear" w:color="auto" w:fill="auto"/>
        </w:rPr>
        <w:t xml:space="preserve"> via regulating </w:t>
      </w:r>
      <w:bookmarkStart w:id="5" w:name="OLE_LINK24"/>
      <w:bookmarkStart w:id="6" w:name="OLE_LINK12"/>
      <w:bookmarkStart w:id="7" w:name="OLE_LINK1"/>
      <w:r>
        <w:rPr>
          <w:rFonts w:hint="default" w:ascii="Times New Roman" w:hAnsi="Times New Roman" w:eastAsia="宋体" w:cs="Times New Roman"/>
          <w:b/>
          <w:bCs/>
          <w:sz w:val="20"/>
          <w:szCs w:val="20"/>
          <w:shd w:val="clear" w:color="auto" w:fill="auto"/>
        </w:rPr>
        <w:t>Aryl hydrocarbon receptor</w:t>
      </w:r>
      <w:bookmarkEnd w:id="5"/>
      <w:r>
        <w:rPr>
          <w:rFonts w:hint="default" w:ascii="Times New Roman" w:hAnsi="Times New Roman" w:eastAsia="宋体" w:cs="Times New Roman"/>
          <w:b/>
          <w:bCs/>
          <w:sz w:val="20"/>
          <w:szCs w:val="20"/>
          <w:shd w:val="clear" w:color="auto" w:fill="auto"/>
        </w:rPr>
        <w:t xml:space="preserve"> signaling</w:t>
      </w:r>
      <w:bookmarkEnd w:id="6"/>
      <w:bookmarkEnd w:id="7"/>
    </w:p>
    <w:p w14:paraId="37ABCF6D">
      <w:pPr>
        <w:spacing w:line="480" w:lineRule="auto"/>
        <w:ind w:firstLine="0" w:firstLineChars="0"/>
        <w:rPr>
          <w:rFonts w:hint="default" w:ascii="Times New Roman" w:hAnsi="Times New Roman" w:cs="Times New Roman"/>
          <w:sz w:val="20"/>
          <w:szCs w:val="20"/>
        </w:rPr>
      </w:pPr>
      <w:r>
        <w:rPr>
          <w:rFonts w:hint="default" w:ascii="Times New Roman" w:hAnsi="Times New Roman" w:cs="Times New Roman"/>
          <w:sz w:val="20"/>
          <w:szCs w:val="20"/>
        </w:rPr>
        <w:t>Ying Zhu</w:t>
      </w:r>
      <w:r>
        <w:rPr>
          <w:rFonts w:hint="default" w:ascii="Times New Roman" w:hAnsi="Times New Roman" w:cs="Times New Roman"/>
          <w:sz w:val="20"/>
          <w:szCs w:val="20"/>
          <w:vertAlign w:val="superscript"/>
        </w:rPr>
        <w:t>a,1</w:t>
      </w:r>
      <w:r>
        <w:rPr>
          <w:rFonts w:hint="default" w:ascii="Times New Roman" w:hAnsi="Times New Roman" w:cs="Times New Roman"/>
          <w:sz w:val="20"/>
          <w:szCs w:val="20"/>
        </w:rPr>
        <w:t xml:space="preserve">, Quan Yuan </w:t>
      </w:r>
      <w:r>
        <w:rPr>
          <w:rFonts w:hint="default" w:ascii="Times New Roman" w:hAnsi="Times New Roman" w:cs="Times New Roman"/>
          <w:sz w:val="20"/>
          <w:szCs w:val="20"/>
          <w:vertAlign w:val="superscript"/>
        </w:rPr>
        <w:t>b, 1</w:t>
      </w:r>
      <w:r>
        <w:rPr>
          <w:rFonts w:hint="default" w:ascii="Times New Roman" w:hAnsi="Times New Roman" w:cs="Times New Roman"/>
          <w:sz w:val="20"/>
          <w:szCs w:val="20"/>
        </w:rPr>
        <w:t xml:space="preserve">, Junhong Geng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Jingyue Hu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Pu Zhao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Yue Yan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Mei Hu </w:t>
      </w:r>
      <w:r>
        <w:rPr>
          <w:rFonts w:hint="default" w:ascii="Times New Roman" w:hAnsi="Times New Roman" w:cs="Times New Roman"/>
          <w:sz w:val="20"/>
          <w:szCs w:val="20"/>
          <w:vertAlign w:val="superscript"/>
        </w:rPr>
        <w:t>c</w:t>
      </w:r>
      <w:r>
        <w:rPr>
          <w:rFonts w:hint="default" w:ascii="Times New Roman" w:hAnsi="Times New Roman" w:cs="Times New Roman"/>
          <w:sz w:val="20"/>
          <w:szCs w:val="20"/>
        </w:rPr>
        <w:t xml:space="preserve">, Xiaoli Liu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Xiaoying Zhu </w:t>
      </w: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Hua Fan </w:t>
      </w:r>
      <w:r>
        <w:rPr>
          <w:rFonts w:hint="default" w:ascii="Times New Roman" w:hAnsi="Times New Roman" w:cs="Times New Roman"/>
          <w:sz w:val="20"/>
          <w:szCs w:val="20"/>
          <w:vertAlign w:val="superscript"/>
        </w:rPr>
        <w:t xml:space="preserve">a, </w:t>
      </w:r>
      <w:r>
        <w:rPr>
          <w:rFonts w:hint="default" w:ascii="Times New Roman" w:hAnsi="Times New Roman" w:cs="Times New Roman"/>
          <w:sz w:val="20"/>
          <w:szCs w:val="20"/>
        </w:rPr>
        <w:t xml:space="preserve">*, Dongmei Wang </w:t>
      </w:r>
      <w:r>
        <w:rPr>
          <w:rFonts w:hint="default" w:ascii="Times New Roman" w:hAnsi="Times New Roman" w:cs="Times New Roman"/>
          <w:sz w:val="20"/>
          <w:szCs w:val="20"/>
          <w:vertAlign w:val="superscript"/>
        </w:rPr>
        <w:t xml:space="preserve">a, </w:t>
      </w:r>
      <w:r>
        <w:rPr>
          <w:rFonts w:hint="default" w:ascii="Times New Roman" w:hAnsi="Times New Roman" w:cs="Times New Roman"/>
          <w:sz w:val="20"/>
          <w:szCs w:val="20"/>
        </w:rPr>
        <w:t>**</w:t>
      </w:r>
    </w:p>
    <w:p w14:paraId="75D26F0F">
      <w:pPr>
        <w:spacing w:line="480" w:lineRule="auto"/>
        <w:ind w:firstLine="0" w:firstLineChars="0"/>
        <w:rPr>
          <w:rFonts w:hint="default" w:ascii="Times New Roman" w:hAnsi="Times New Roman" w:cs="Times New Roman"/>
          <w:sz w:val="20"/>
          <w:szCs w:val="20"/>
        </w:rPr>
      </w:pPr>
    </w:p>
    <w:p w14:paraId="4ED19ADF">
      <w:pPr>
        <w:spacing w:line="480" w:lineRule="auto"/>
        <w:ind w:firstLine="0" w:firstLineChars="0"/>
        <w:rPr>
          <w:rFonts w:hint="default" w:ascii="Times New Roman" w:hAnsi="Times New Roman" w:cs="Times New Roman"/>
          <w:sz w:val="20"/>
          <w:szCs w:val="20"/>
        </w:rPr>
      </w:pPr>
      <w:r>
        <w:rPr>
          <w:rFonts w:hint="default" w:ascii="Times New Roman" w:hAnsi="Times New Roman" w:cs="Times New Roman"/>
          <w:sz w:val="20"/>
          <w:szCs w:val="20"/>
          <w:vertAlign w:val="superscript"/>
        </w:rPr>
        <w:t>a</w:t>
      </w:r>
      <w:r>
        <w:rPr>
          <w:rFonts w:hint="default" w:ascii="Times New Roman" w:hAnsi="Times New Roman" w:cs="Times New Roman"/>
          <w:sz w:val="20"/>
          <w:szCs w:val="20"/>
        </w:rPr>
        <w:t xml:space="preserve"> College of Basic Medicine and Forensic Medicine, Office of Research &amp; Innovation, The First Affiliated Hospital, College of Clinical Medicine, Henan University of Science and Technology, Luoyang, China</w:t>
      </w:r>
    </w:p>
    <w:p w14:paraId="546A57D1">
      <w:pPr>
        <w:spacing w:line="480" w:lineRule="auto"/>
        <w:ind w:firstLine="0" w:firstLineChars="0"/>
        <w:rPr>
          <w:rFonts w:hint="default" w:ascii="Times New Roman" w:hAnsi="Times New Roman" w:cs="Times New Roman"/>
          <w:sz w:val="20"/>
          <w:szCs w:val="20"/>
        </w:rPr>
      </w:pPr>
      <w:r>
        <w:rPr>
          <w:rFonts w:hint="default" w:ascii="Times New Roman" w:hAnsi="Times New Roman" w:cs="Times New Roman"/>
          <w:sz w:val="20"/>
          <w:szCs w:val="20"/>
          <w:vertAlign w:val="superscript"/>
        </w:rPr>
        <w:t>b</w:t>
      </w:r>
      <w:r>
        <w:rPr>
          <w:rFonts w:hint="default" w:ascii="Times New Roman" w:hAnsi="Times New Roman" w:cs="Times New Roman"/>
          <w:sz w:val="20"/>
          <w:szCs w:val="20"/>
        </w:rPr>
        <w:t xml:space="preserve"> Henan Province Rongkang Hospital, Luoyang, China</w:t>
      </w:r>
    </w:p>
    <w:p w14:paraId="7E1DE075">
      <w:pPr>
        <w:spacing w:line="480" w:lineRule="auto"/>
        <w:ind w:firstLine="0" w:firstLineChars="0"/>
        <w:rPr>
          <w:rFonts w:hint="default" w:ascii="Times New Roman" w:hAnsi="Times New Roman" w:cs="Times New Roman"/>
          <w:sz w:val="20"/>
          <w:szCs w:val="20"/>
        </w:rPr>
      </w:pPr>
      <w:r>
        <w:rPr>
          <w:rFonts w:hint="default" w:ascii="Times New Roman" w:hAnsi="Times New Roman" w:cs="Times New Roman"/>
          <w:sz w:val="20"/>
          <w:szCs w:val="20"/>
          <w:vertAlign w:val="superscript"/>
        </w:rPr>
        <w:t xml:space="preserve">C </w:t>
      </w:r>
      <w:r>
        <w:rPr>
          <w:rFonts w:hint="default" w:ascii="Times New Roman" w:hAnsi="Times New Roman" w:cs="Times New Roman"/>
          <w:sz w:val="20"/>
          <w:szCs w:val="20"/>
        </w:rPr>
        <w:t>College of Food Science and Technology, Henan Agricultural University, Zhengzhou, China</w:t>
      </w:r>
    </w:p>
    <w:p w14:paraId="275AF618">
      <w:pPr>
        <w:spacing w:line="480" w:lineRule="auto"/>
        <w:ind w:firstLine="0" w:firstLineChars="0"/>
        <w:rPr>
          <w:rFonts w:hint="default" w:ascii="Times New Roman" w:hAnsi="Times New Roman" w:cs="Times New Roman"/>
          <w:sz w:val="20"/>
          <w:szCs w:val="20"/>
        </w:rPr>
      </w:pPr>
    </w:p>
    <w:p w14:paraId="4B50E1DB">
      <w:pPr>
        <w:spacing w:line="480" w:lineRule="auto"/>
        <w:ind w:firstLine="0" w:firstLineChars="0"/>
        <w:rPr>
          <w:rFonts w:hint="default" w:ascii="Times New Roman" w:hAnsi="Times New Roman" w:eastAsia="宋体" w:cs="Times New Roman"/>
          <w:sz w:val="20"/>
          <w:szCs w:val="20"/>
        </w:rPr>
      </w:pPr>
      <w:r>
        <w:rPr>
          <w:rFonts w:hint="default" w:ascii="Times New Roman" w:hAnsi="Times New Roman" w:eastAsia="宋体" w:cs="Times New Roman"/>
          <w:sz w:val="20"/>
          <w:szCs w:val="20"/>
          <w:vertAlign w:val="superscript"/>
        </w:rPr>
        <w:t>1</w:t>
      </w:r>
      <w:r>
        <w:rPr>
          <w:rFonts w:hint="default" w:ascii="Times New Roman" w:hAnsi="Times New Roman" w:eastAsia="宋体" w:cs="Times New Roman"/>
          <w:sz w:val="20"/>
          <w:szCs w:val="20"/>
        </w:rPr>
        <w:t xml:space="preserve"> </w:t>
      </w:r>
      <w:r>
        <w:rPr>
          <w:rFonts w:hint="default" w:ascii="Times New Roman" w:hAnsi="Times New Roman" w:cs="Times New Roman"/>
          <w:sz w:val="20"/>
          <w:szCs w:val="20"/>
        </w:rPr>
        <w:t>Ying Zhu</w:t>
      </w:r>
      <w:r>
        <w:rPr>
          <w:rFonts w:hint="default" w:ascii="Times New Roman" w:hAnsi="Times New Roman" w:eastAsia="宋体" w:cs="Times New Roman"/>
          <w:sz w:val="20"/>
          <w:szCs w:val="20"/>
        </w:rPr>
        <w:t xml:space="preserve"> and </w:t>
      </w:r>
      <w:r>
        <w:rPr>
          <w:rFonts w:hint="default" w:ascii="Times New Roman" w:hAnsi="Times New Roman" w:cs="Times New Roman"/>
          <w:sz w:val="20"/>
          <w:szCs w:val="20"/>
        </w:rPr>
        <w:t>Quan Yuan</w:t>
      </w:r>
      <w:r>
        <w:rPr>
          <w:rFonts w:hint="default" w:ascii="Times New Roman" w:hAnsi="Times New Roman" w:eastAsia="宋体" w:cs="Times New Roman"/>
          <w:sz w:val="20"/>
          <w:szCs w:val="20"/>
        </w:rPr>
        <w:t xml:space="preserve"> have been contributed equally to this work</w:t>
      </w:r>
    </w:p>
    <w:p w14:paraId="6C87D0E5">
      <w:pPr>
        <w:widowControl w:val="0"/>
        <w:spacing w:line="480" w:lineRule="auto"/>
        <w:ind w:firstLine="0" w:firstLineChars="0"/>
        <w:rPr>
          <w:rFonts w:hint="default" w:ascii="Times New Roman" w:hAnsi="Times New Roman" w:eastAsia="宋体" w:cs="Times New Roman"/>
          <w:sz w:val="20"/>
          <w:szCs w:val="20"/>
          <w:shd w:val="clear" w:color="auto" w:fill="auto"/>
        </w:rPr>
      </w:pPr>
    </w:p>
    <w:p w14:paraId="06725B53">
      <w:pPr>
        <w:spacing w:line="480" w:lineRule="auto"/>
        <w:ind w:left="100" w:hanging="100" w:hangingChars="50"/>
        <w:rPr>
          <w:rFonts w:hint="default" w:ascii="Times New Roman" w:hAnsi="Times New Roman" w:cs="Times New Roman"/>
          <w:sz w:val="20"/>
          <w:szCs w:val="20"/>
        </w:rPr>
      </w:pPr>
      <w:r>
        <w:rPr>
          <w:rFonts w:hint="default" w:ascii="Times New Roman" w:hAnsi="Times New Roman" w:eastAsia="宋体" w:cs="Times New Roman"/>
          <w:sz w:val="20"/>
          <w:szCs w:val="20"/>
          <w:shd w:val="clear" w:color="auto" w:fill="auto"/>
        </w:rPr>
        <w:t xml:space="preserve">* Correspondence to: </w:t>
      </w:r>
      <w:r>
        <w:rPr>
          <w:rFonts w:hint="default" w:ascii="Times New Roman" w:hAnsi="Times New Roman" w:cs="Times New Roman"/>
          <w:sz w:val="20"/>
          <w:szCs w:val="20"/>
        </w:rPr>
        <w:t>Hua Fan, The First Affiliated Hospital, College of Clinical Medicine, Henan University of Science and Technology, Luoyang, China</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263 Kaiyuan Avenue, Luoyang, Henan 471003, P. R. China.</w:t>
      </w:r>
    </w:p>
    <w:p w14:paraId="00B8E2C5">
      <w:pPr>
        <w:widowControl w:val="0"/>
        <w:spacing w:line="480" w:lineRule="auto"/>
        <w:ind w:firstLine="0" w:firstLineChars="0"/>
        <w:rPr>
          <w:rFonts w:hint="default" w:ascii="Times New Roman" w:hAnsi="Times New Roman" w:eastAsia="宋体" w:cs="Times New Roman"/>
          <w:sz w:val="20"/>
          <w:szCs w:val="20"/>
          <w:shd w:val="clear" w:color="auto" w:fill="auto"/>
        </w:rPr>
      </w:pPr>
    </w:p>
    <w:p w14:paraId="27E4832A">
      <w:pPr>
        <w:spacing w:line="480" w:lineRule="auto"/>
        <w:ind w:left="100" w:hanging="100" w:hangingChars="50"/>
        <w:rPr>
          <w:rFonts w:hint="default" w:ascii="Times New Roman" w:hAnsi="Times New Roman" w:cs="Times New Roman"/>
          <w:sz w:val="20"/>
          <w:szCs w:val="20"/>
        </w:rPr>
      </w:pPr>
      <w:r>
        <w:rPr>
          <w:rFonts w:hint="default" w:ascii="Times New Roman" w:hAnsi="Times New Roman" w:eastAsia="宋体" w:cs="Times New Roman"/>
          <w:sz w:val="20"/>
          <w:szCs w:val="20"/>
          <w:shd w:val="clear" w:color="auto" w:fill="auto"/>
        </w:rPr>
        <w:t>*</w:t>
      </w:r>
      <w:r>
        <w:rPr>
          <w:rFonts w:hint="default" w:ascii="Times New Roman" w:hAnsi="Times New Roman" w:cs="Times New Roman"/>
          <w:sz w:val="20"/>
          <w:szCs w:val="20"/>
        </w:rPr>
        <w:t>*</w:t>
      </w:r>
      <w:r>
        <w:rPr>
          <w:rFonts w:hint="default" w:ascii="Times New Roman" w:hAnsi="Times New Roman" w:eastAsia="宋体" w:cs="Times New Roman"/>
          <w:sz w:val="20"/>
          <w:szCs w:val="20"/>
          <w:shd w:val="clear" w:color="auto" w:fill="auto"/>
        </w:rPr>
        <w:t xml:space="preserve"> Correspondence to: Dongmei Wang, College of Basic Medicine and Forensic Medicine, Henan University of Science and Technology, Luoyang, China, </w:t>
      </w:r>
      <w:r>
        <w:rPr>
          <w:rFonts w:hint="default" w:ascii="Times New Roman" w:hAnsi="Times New Roman" w:cs="Times New Roman"/>
          <w:sz w:val="20"/>
          <w:szCs w:val="20"/>
        </w:rPr>
        <w:t>263 Kaiyuan Avenue, Luoyang, Henan 471003, P. R. China.</w:t>
      </w:r>
    </w:p>
    <w:p w14:paraId="7FAEDF3F">
      <w:pPr>
        <w:keepNext w:val="0"/>
        <w:keepLines w:val="0"/>
        <w:pageBreakBefore w:val="0"/>
        <w:kinsoku/>
        <w:wordWrap/>
        <w:overflowPunct/>
        <w:topLinePunct w:val="0"/>
        <w:autoSpaceDE/>
        <w:autoSpaceDN/>
        <w:bidi w:val="0"/>
        <w:adjustRightInd/>
        <w:snapToGrid/>
        <w:spacing w:line="480" w:lineRule="auto"/>
        <w:ind w:left="0" w:firstLine="0" w:firstLineChars="0"/>
        <w:textAlignment w:val="auto"/>
        <w:rPr>
          <w:rFonts w:hint="default" w:ascii="Times New Roman" w:hAnsi="Times New Roman" w:cs="Times New Roman"/>
          <w:sz w:val="20"/>
          <w:szCs w:val="20"/>
        </w:rPr>
      </w:pPr>
      <w:r>
        <w:rPr>
          <w:rFonts w:hint="default" w:ascii="Times New Roman" w:hAnsi="Times New Roman" w:cs="Times New Roman"/>
          <w:sz w:val="20"/>
          <w:szCs w:val="20"/>
          <w:shd w:val="clear" w:color="auto" w:fill="auto"/>
        </w:rPr>
        <w:t xml:space="preserve">E-mail addresses: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"mailto:fanhua19851229@126.com" </w:instrText>
      </w:r>
      <w:r>
        <w:rPr>
          <w:rFonts w:hint="default" w:ascii="Times New Roman" w:hAnsi="Times New Roman" w:cs="Times New Roman"/>
          <w:sz w:val="20"/>
          <w:szCs w:val="20"/>
        </w:rPr>
        <w:fldChar w:fldCharType="separate"/>
      </w:r>
      <w:r>
        <w:rPr>
          <w:rStyle w:val="7"/>
          <w:rFonts w:hint="default" w:ascii="Times New Roman" w:hAnsi="Times New Roman" w:cs="Times New Roman"/>
          <w:sz w:val="20"/>
          <w:szCs w:val="20"/>
        </w:rPr>
        <w:t>fanhua19851229@126.com</w:t>
      </w:r>
      <w:r>
        <w:rPr>
          <w:rStyle w:val="7"/>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w:t>
      </w:r>
      <w:r>
        <w:rPr>
          <w:rFonts w:hint="default" w:ascii="Times New Roman" w:hAnsi="Times New Roman" w:cs="Times New Roman"/>
          <w:sz w:val="20"/>
          <w:szCs w:val="20"/>
          <w:shd w:val="clear" w:color="auto" w:fill="auto"/>
        </w:rPr>
        <w:t>(D. Fan)</w:t>
      </w:r>
      <w:r>
        <w:rPr>
          <w:rFonts w:hint="default" w:ascii="Times New Roman" w:hAnsi="Times New Roman" w:cs="Times New Roman"/>
          <w:sz w:val="20"/>
          <w:szCs w:val="20"/>
        </w:rPr>
        <w:t xml:space="preserve"> and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"mailto:wdmzgadyx@163.com"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shd w:val="clear" w:color="auto" w:fill="auto"/>
        </w:rPr>
        <w:t>wdmzgadyx@163.com</w:t>
      </w:r>
      <w:r>
        <w:rPr>
          <w:rFonts w:hint="default" w:ascii="Times New Roman" w:hAnsi="Times New Roman" w:cs="Times New Roman"/>
          <w:sz w:val="20"/>
          <w:szCs w:val="20"/>
          <w:shd w:val="clear" w:color="auto" w:fill="auto"/>
        </w:rPr>
        <w:fldChar w:fldCharType="end"/>
      </w:r>
      <w:r>
        <w:rPr>
          <w:rFonts w:hint="default" w:ascii="Times New Roman" w:hAnsi="Times New Roman" w:cs="Times New Roman"/>
          <w:sz w:val="20"/>
          <w:szCs w:val="20"/>
          <w:shd w:val="clear" w:color="auto" w:fill="auto"/>
        </w:rPr>
        <w:t xml:space="preserve"> (D. Wang) </w:t>
      </w:r>
      <w:r>
        <w:rPr>
          <w:rFonts w:hint="default" w:ascii="Times New Roman" w:hAnsi="Times New Roman" w:cs="Times New Roman"/>
          <w:sz w:val="20"/>
          <w:szCs w:val="20"/>
        </w:rPr>
        <w:br w:type="page"/>
      </w:r>
    </w:p>
    <w:p w14:paraId="61FF445E">
      <w:pPr>
        <w:keepNext w:val="0"/>
        <w:keepLines w:val="0"/>
        <w:pageBreakBefore w:val="0"/>
        <w:kinsoku/>
        <w:wordWrap/>
        <w:overflowPunct/>
        <w:topLinePunct w:val="0"/>
        <w:bidi w:val="0"/>
        <w:snapToGrid/>
        <w:spacing w:line="480" w:lineRule="auto"/>
        <w:ind w:left="0" w:firstLine="0" w:firstLineChars="0"/>
        <w:textAlignment w:val="auto"/>
        <w:rPr>
          <w:rFonts w:hint="default" w:ascii="Times New Roman" w:hAnsi="Times New Roman" w:cs="Times New Roman"/>
          <w:b/>
          <w:sz w:val="20"/>
          <w:szCs w:val="20"/>
        </w:rPr>
      </w:pPr>
      <w:bookmarkStart w:id="8" w:name="OLE_LINK6"/>
      <w:r>
        <w:rPr>
          <w:rFonts w:hint="default" w:ascii="Times New Roman" w:hAnsi="Times New Roman" w:cs="Times New Roman"/>
          <w:b/>
          <w:sz w:val="20"/>
          <w:szCs w:val="20"/>
        </w:rPr>
        <w:t>Supplementary Material</w:t>
      </w:r>
    </w:p>
    <w:bookmarkEnd w:id="8"/>
    <w:p w14:paraId="374A681A">
      <w:pPr>
        <w:keepNext w:val="0"/>
        <w:keepLines w:val="0"/>
        <w:pageBreakBefore w:val="0"/>
        <w:widowControl w:val="0"/>
        <w:kinsoku/>
        <w:wordWrap/>
        <w:overflowPunct/>
        <w:topLinePunct w:val="0"/>
        <w:autoSpaceDE/>
        <w:autoSpaceDN/>
        <w:bidi w:val="0"/>
        <w:adjustRightInd/>
        <w:snapToGrid/>
        <w:spacing w:line="480" w:lineRule="auto"/>
        <w:ind w:left="0" w:firstLine="0" w:firstLineChars="0"/>
        <w:textAlignment w:val="auto"/>
        <w:rPr>
          <w:rFonts w:hint="default" w:ascii="Times New Roman" w:hAnsi="Times New Roman" w:eastAsia="宋体" w:cs="Times New Roman"/>
          <w:b/>
          <w:bCs/>
          <w:color w:val="000000" w:themeColor="text1"/>
          <w:sz w:val="20"/>
          <w:szCs w:val="20"/>
          <w:shd w:val="clear" w:color="auto" w:fill="auto"/>
          <w14:textFill>
            <w14:solidFill>
              <w14:schemeClr w14:val="tx1"/>
            </w14:solidFill>
          </w14:textFill>
        </w:rPr>
      </w:pPr>
      <w:r>
        <w:rPr>
          <w:rFonts w:hint="default" w:ascii="Times New Roman" w:hAnsi="Times New Roman" w:eastAsia="宋体" w:cs="Times New Roman"/>
          <w:b/>
          <w:bCs/>
          <w:color w:val="000000" w:themeColor="text1"/>
          <w:sz w:val="20"/>
          <w:szCs w:val="20"/>
          <w:shd w:val="clear" w:color="auto" w:fill="auto"/>
          <w14:textFill>
            <w14:solidFill>
              <w14:schemeClr w14:val="tx1"/>
            </w14:solidFill>
          </w14:textFill>
        </w:rPr>
        <w:t xml:space="preserve">S1. Behavior tests </w:t>
      </w:r>
    </w:p>
    <w:p w14:paraId="03F53F47">
      <w:pPr>
        <w:keepNext w:val="0"/>
        <w:keepLines w:val="0"/>
        <w:pageBreakBefore w:val="0"/>
        <w:widowControl w:val="0"/>
        <w:kinsoku/>
        <w:wordWrap/>
        <w:overflowPunct/>
        <w:topLinePunct w:val="0"/>
        <w:autoSpaceDE/>
        <w:autoSpaceDN/>
        <w:bidi w:val="0"/>
        <w:adjustRightInd/>
        <w:snapToGrid/>
        <w:spacing w:line="480" w:lineRule="auto"/>
        <w:ind w:left="0" w:firstLine="0" w:firstLineChars="0"/>
        <w:textAlignment w:val="auto"/>
        <w:rPr>
          <w:rFonts w:hint="default" w:ascii="Times New Roman" w:hAnsi="Times New Roman" w:eastAsia="宋体" w:cs="Times New Roman"/>
          <w:bCs/>
          <w:i/>
          <w:iCs/>
          <w:sz w:val="20"/>
          <w:szCs w:val="20"/>
          <w:shd w:val="clear" w:color="auto" w:fill="auto"/>
        </w:rPr>
      </w:pPr>
      <w:r>
        <w:rPr>
          <w:rFonts w:hint="default" w:ascii="Times New Roman" w:hAnsi="Times New Roman" w:eastAsia="宋体" w:cs="Times New Roman"/>
          <w:bCs/>
          <w:i/>
          <w:iCs/>
          <w:sz w:val="20"/>
          <w:szCs w:val="20"/>
          <w:shd w:val="clear" w:color="auto" w:fill="auto"/>
        </w:rPr>
        <w:t>S1.1. Morris water maze (MWM)</w:t>
      </w:r>
      <w:bookmarkStart w:id="16" w:name="_GoBack"/>
      <w:bookmarkEnd w:id="16"/>
    </w:p>
    <w:p w14:paraId="438EA78F">
      <w:pPr>
        <w:keepNext w:val="0"/>
        <w:keepLines w:val="0"/>
        <w:pageBreakBefore w:val="0"/>
        <w:kinsoku/>
        <w:wordWrap/>
        <w:overflowPunct/>
        <w:topLinePunct w:val="0"/>
        <w:bidi w:val="0"/>
        <w:snapToGrid/>
        <w:spacing w:line="480" w:lineRule="auto"/>
        <w:ind w:left="0"/>
        <w:textAlignment w:val="auto"/>
        <w:rPr>
          <w:rFonts w:hint="default" w:ascii="Times New Roman" w:hAnsi="Times New Roman" w:eastAsia="CharisSIL" w:cs="Times New Roman"/>
          <w:kern w:val="0"/>
          <w:sz w:val="20"/>
          <w:szCs w:val="20"/>
          <w:lang w:bidi="ar"/>
        </w:rPr>
      </w:pPr>
      <w:r>
        <w:rPr>
          <w:rFonts w:hint="default" w:ascii="Times New Roman" w:hAnsi="Times New Roman" w:cs="Times New Roman"/>
          <w:sz w:val="20"/>
          <w:szCs w:val="20"/>
        </w:rPr>
        <w:t>The m</w:t>
      </w:r>
      <w:r>
        <w:rPr>
          <w:rFonts w:hint="default" w:ascii="Times New Roman" w:hAnsi="Times New Roman" w:eastAsia="MyriadPro-BoldSemiCn" w:cs="Times New Roman"/>
          <w:kern w:val="0"/>
          <w:sz w:val="20"/>
          <w:szCs w:val="20"/>
          <w:lang w:bidi="ar"/>
        </w:rPr>
        <w:t>orris water maze</w:t>
      </w:r>
      <w:r>
        <w:rPr>
          <w:rFonts w:hint="default" w:ascii="Times New Roman" w:hAnsi="Times New Roman" w:cs="Times New Roman"/>
          <w:sz w:val="20"/>
          <w:szCs w:val="20"/>
        </w:rPr>
        <w:t xml:space="preserve"> test was used to </w:t>
      </w:r>
      <w:r>
        <w:rPr>
          <w:rFonts w:hint="default" w:ascii="Times New Roman" w:hAnsi="Times New Roman" w:cs="Times New Roman"/>
          <w:sz w:val="20"/>
          <w:szCs w:val="20"/>
          <w:lang w:bidi="ar"/>
        </w:rPr>
        <w:t>investigate</w:t>
      </w:r>
      <w:r>
        <w:rPr>
          <w:rFonts w:hint="default" w:ascii="Times New Roman" w:hAnsi="Times New Roman" w:cs="Times New Roman"/>
          <w:sz w:val="20"/>
          <w:szCs w:val="20"/>
        </w:rPr>
        <w:t xml:space="preserve"> the </w:t>
      </w:r>
      <w:r>
        <w:rPr>
          <w:rFonts w:hint="default" w:ascii="Times New Roman" w:hAnsi="Times New Roman" w:eastAsia="STIX-Regular" w:cs="Times New Roman"/>
          <w:kern w:val="0"/>
          <w:sz w:val="20"/>
          <w:szCs w:val="20"/>
          <w:lang w:bidi="ar"/>
        </w:rPr>
        <w:t>memory ability</w:t>
      </w:r>
      <w:r>
        <w:rPr>
          <w:rFonts w:hint="default" w:ascii="Times New Roman" w:hAnsi="Times New Roman" w:cs="Times New Roman"/>
          <w:sz w:val="20"/>
          <w:szCs w:val="20"/>
        </w:rPr>
        <w:t xml:space="preserve"> of the mice after Cd exposure as previously reported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ZOTERO_ITEM CSL_CITATION {"citationID":"xCL7KjNb","properties":{"formattedCitation":"(C. Wang et al., 2021)","plainCitation":"(C. Wang et al., 2021)","noteIndex":0},"citationItems":[{"id":515,"uris":["http://zotero.org/users/8746688/items/549QFGS7"],"itemData":{"id":515,"type":"article-journal","abstract":"Chemotherapy-induced cognitive impairment (CICI) is a common detrimental effect of cancer treatment, occurring in up to 75% of cancer patients. The widely utilized chemotherapeutic agent doxorubicin (DOX) has been implicated in cognitive decline, mostly via cytokine-induced neuroinflammatory and oxidative and mitochondrial damage to brain tissues. C-phycocyanin (CP) has previously been shown to have potent anti-inflammatory, antioxidant, and mitochondrial protective properties. Therefore, this present study was aimed to investigate the neuroprotective effects of CP against DOX-elicited cognitive impairment and explore the underlying mechanisms. CP treatment (50 mg/kg) significantly improved behavioral deficits in DOX-treated mice. Furthermore, CP suppressed DOX-induced neuroinflammation and oxidative stress, mitigated mitochondrial abnormalities, rescued dendritic spine loss, and increased synaptic density in the hippocampus of DOX-treated mice. Our results suggested that CP improves established DOX-induced cognitive deficits, which could be explained at least partly by inhibition of neuroinflammatory and oxidant stress and attenuation of mitochondrial and synaptic dysfunction.","container-title":"Neurochemical Research","DOI":"10.1007/s11064-020-03164-2","ISSN":"0364-3190, 1573-6903","issue":"2","journalAbbreviation":"Neurochem Res","language":"en","page":"149-158","source":"DOI.org (Crossref)","title":"C-phycocyanin Mitigates Cognitive Impairment in Doxorubicin-Induced Chemobrain: Impact on Neuroinflammation, Oxidative Stress, and Brain Mitochondrial and Synaptic Alterations","title-short":"C-phycocyanin Mitigates Cognitive Impairment in Doxorubicin-Induced Chemobrain","volume":"46","author":[{"family":"Wang","given":"Chenying"},{"family":"Zhao","given":"Yuhang"},{"family":"Wang","given":"Lewei"},{"family":"Pan","given":"Shunji"},{"family":"Liu","given":"Yumei"},{"family":"Li","given":"Sanqiang"},{"family":"Wang","given":"Dongmei"}],"issued":{"date-parts":[["2021",2]]}}}],"schema":"https://github.com/citation-style-language/schema/raw/master/csl-citation.json"}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(C. Wang et al., 2021)</w:t>
      </w:r>
      <w:r>
        <w:rPr>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During the training period, a platform was </w:t>
      </w:r>
      <w:bookmarkStart w:id="9" w:name="OLE_LINK37"/>
      <w:r>
        <w:rPr>
          <w:rFonts w:hint="default" w:ascii="Times New Roman" w:hAnsi="Times New Roman" w:cs="Times New Roman"/>
          <w:sz w:val="20"/>
          <w:szCs w:val="20"/>
        </w:rPr>
        <w:t xml:space="preserve">placed </w:t>
      </w:r>
      <w:bookmarkEnd w:id="9"/>
      <w:r>
        <w:rPr>
          <w:rFonts w:hint="default" w:ascii="Times New Roman" w:hAnsi="Times New Roman" w:cs="Times New Roman"/>
          <w:sz w:val="20"/>
          <w:szCs w:val="20"/>
        </w:rPr>
        <w:t>1.5 cm below the horizontal in a circular pool filled with opaque water and the mouse was tasked with finding the platform within 60 s. The swimming training continued from day 1 to day 5. The escape latency (time for mice to find the target platform) were recorded. On the sixth day, the platform was removed from the maze. The duration in the target quadrant, the swimming route, and the swimming path length during the 60 s probe trial were recorded</w:t>
      </w:r>
      <w:r>
        <w:rPr>
          <w:rFonts w:hint="default" w:ascii="Times New Roman" w:hAnsi="Times New Roman" w:eastAsia="CharisSIL" w:cs="Times New Roman"/>
          <w:kern w:val="0"/>
          <w:sz w:val="20"/>
          <w:szCs w:val="20"/>
          <w:lang w:bidi="ar"/>
        </w:rPr>
        <w:t>.</w:t>
      </w:r>
    </w:p>
    <w:p w14:paraId="02B802FD">
      <w:pPr>
        <w:keepNext w:val="0"/>
        <w:keepLines w:val="0"/>
        <w:pageBreakBefore w:val="0"/>
        <w:widowControl w:val="0"/>
        <w:kinsoku/>
        <w:wordWrap/>
        <w:overflowPunct/>
        <w:topLinePunct w:val="0"/>
        <w:autoSpaceDE/>
        <w:autoSpaceDN/>
        <w:bidi w:val="0"/>
        <w:adjustRightInd/>
        <w:snapToGrid/>
        <w:spacing w:line="480" w:lineRule="auto"/>
        <w:ind w:left="0" w:firstLine="0" w:firstLineChars="0"/>
        <w:textAlignment w:val="auto"/>
        <w:rPr>
          <w:rFonts w:hint="default" w:ascii="Times New Roman" w:hAnsi="Times New Roman" w:eastAsia="宋体" w:cs="Times New Roman"/>
          <w:bCs/>
          <w:i/>
          <w:iCs/>
          <w:sz w:val="20"/>
          <w:szCs w:val="20"/>
          <w:shd w:val="clear" w:color="auto" w:fill="auto"/>
        </w:rPr>
      </w:pPr>
      <w:r>
        <w:rPr>
          <w:rFonts w:hint="default" w:ascii="Times New Roman" w:hAnsi="Times New Roman" w:eastAsia="宋体" w:cs="Times New Roman"/>
          <w:bCs/>
          <w:i/>
          <w:iCs/>
          <w:sz w:val="20"/>
          <w:szCs w:val="20"/>
          <w:shd w:val="clear" w:color="auto" w:fill="auto"/>
        </w:rPr>
        <w:t xml:space="preserve">S1.2. Y-maze </w:t>
      </w:r>
    </w:p>
    <w:p w14:paraId="3BE53B6C">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The Y-maze test was used to determine hippocampal-dependent short-time spatial recognition memory, and the maze consisted of one start arm and two testing arms (familiar arm and novel arm) at 120° angles (each arm 37 cm length × 8 cm width × 15 cm height)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ZOTERO_ITEM CSL_CITATION {"citationID":"5ikx6yVf","properties":{"formattedCitation":"(Wang et al., 2022)","plainCitation":"(Wang et al., 2022)","noteIndex":0},"citationItems":[{"id":483,"uris":["http://zotero.org/users/8746688/items/UCEPFRE7"],"itemData":{"id":483,"type":"article-journal","container-title":"Journal of Hazardous Materials","DOI":"10.1016/j.jhazmat.2022.129381","ISSN":"03043894","journalAbbreviation":"Journal of Hazardous Materials","language":"en","page":"129381","source":"DOI.org (Crossref)","title":"Mitigation of honokiol on fluoride-induced mitochondrial oxidative stress, mitochondrial dysfunction, and cognitive deficits through activating AMPK/PGC-1α/Sirt3","volume":"437","author":[{"family":"Wang","given":"Dongmei"},{"family":"Cao","given":"Luyang"},{"family":"Zhou","given":"Xiang"},{"family":"Wang","given":"Gang"},{"family":"Ma","given":"Yilu"},{"family":"Hao","given":"Xueqin"},{"family":"Fan","given":"Hua"}],"issued":{"date-parts":[["2022",9]]}}}],"schema":"https://github.com/citation-style-language/schema/raw/master/csl-citation.json"}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(Wang et al., 2022)</w:t>
      </w:r>
      <w:r>
        <w:rPr>
          <w:rFonts w:hint="default" w:ascii="Times New Roman" w:hAnsi="Times New Roman" w:cs="Times New Roman"/>
          <w:sz w:val="20"/>
          <w:szCs w:val="20"/>
        </w:rPr>
        <w:fldChar w:fldCharType="end"/>
      </w:r>
      <w:r>
        <w:rPr>
          <w:rFonts w:hint="default" w:ascii="Times New Roman" w:hAnsi="Times New Roman" w:cs="Times New Roman"/>
          <w:sz w:val="20"/>
          <w:szCs w:val="20"/>
        </w:rPr>
        <w:t>. At the beginning of training trial, only the two arms (</w:t>
      </w:r>
      <w:bookmarkStart w:id="10" w:name="OLE_LINK38"/>
      <w:r>
        <w:rPr>
          <w:rFonts w:hint="default" w:ascii="Times New Roman" w:hAnsi="Times New Roman" w:cs="Times New Roman"/>
          <w:sz w:val="20"/>
          <w:szCs w:val="20"/>
        </w:rPr>
        <w:t>starting arm and familiar arm</w:t>
      </w:r>
      <w:bookmarkEnd w:id="10"/>
      <w:r>
        <w:rPr>
          <w:rFonts w:hint="default" w:ascii="Times New Roman" w:hAnsi="Times New Roman" w:cs="Times New Roman"/>
          <w:sz w:val="20"/>
          <w:szCs w:val="20"/>
        </w:rPr>
        <w:t>) were open, while the novel arm arm was locked. Each mouse was placed in the starting arm and allowed to freely explore either one of the arms for 10  min. During the test session, the percentage of time spent exploring the maze was calculated using the following equation: The preference index (PI) = (the time in the novel arm - the time in the familiar arm) / (the time in the novel arm + the time in the familiar arm).</w:t>
      </w:r>
    </w:p>
    <w:p w14:paraId="28741A70">
      <w:pPr>
        <w:keepNext w:val="0"/>
        <w:keepLines w:val="0"/>
        <w:pageBreakBefore w:val="0"/>
        <w:widowControl w:val="0"/>
        <w:kinsoku/>
        <w:wordWrap/>
        <w:overflowPunct/>
        <w:topLinePunct w:val="0"/>
        <w:autoSpaceDE/>
        <w:autoSpaceDN/>
        <w:bidi w:val="0"/>
        <w:adjustRightInd/>
        <w:snapToGrid/>
        <w:spacing w:line="480" w:lineRule="auto"/>
        <w:ind w:left="0" w:firstLine="0" w:firstLineChars="0"/>
        <w:textAlignment w:val="auto"/>
        <w:rPr>
          <w:rFonts w:hint="default" w:ascii="Times New Roman" w:hAnsi="Times New Roman" w:eastAsia="宋体" w:cs="Times New Roman"/>
          <w:bCs/>
          <w:i/>
          <w:iCs/>
          <w:sz w:val="20"/>
          <w:szCs w:val="20"/>
          <w:shd w:val="clear" w:color="auto" w:fill="auto"/>
        </w:rPr>
      </w:pPr>
      <w:r>
        <w:rPr>
          <w:rFonts w:hint="default" w:ascii="Times New Roman" w:hAnsi="Times New Roman" w:eastAsia="宋体" w:cs="Times New Roman"/>
          <w:bCs/>
          <w:i/>
          <w:iCs/>
          <w:sz w:val="20"/>
          <w:szCs w:val="20"/>
          <w:shd w:val="clear" w:color="auto" w:fill="auto"/>
        </w:rPr>
        <w:t>S1.3. Novel object recognition (NOR)</w:t>
      </w:r>
    </w:p>
    <w:p w14:paraId="46016980">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The Novel object recognition (NOR) test was carried out in an opaque box (40 cm length × 40 cm width × 40 cm height) based on previous literature to access hippocampus-mediated recognition memory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ZOTERO_ITEM CSL_CITATION {"citationID":"XSXpqh0t","properties":{"formattedCitation":"(D. Wang et al., 2021)","plainCitation":"(D. Wang et al., 2021)","noteIndex":0},"citationItems":[{"id":343,"uris":["http://zotero.org/users/8746688/items/W2N2EUXC"],"itemData":{"id":343,"type":"article-journal","container-title":"Food and Chemical Toxicology","DOI":"10.1016/j.fct.2021.112665","ISSN":"02786915","journalAbbreviation":"Food and Chemical Toxicology","language":"en","page":"112665","source":"DOI.org (Crossref)","title":"Sirt3-mediated mitochondrial dysfunction is involved in fluoride-induced cognitive deficits","volume":"158","author":[{"family":"Wang","given":"Dongmei"},{"family":"Cao","given":"Luyang"},{"family":"Pan","given":"Shunji"},{"family":"Wang","given":"Gang"},{"family":"Wang","given":"Lewei"},{"family":"Cao","given":"Ningyao"},{"family":"Hao","given":"Xueqin"}],"issued":{"date-parts":[["2021",12]]}}}],"schema":"https://github.com/citation-style-language/schema/raw/master/csl-citation.json"}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(D. Wang et al., 2021)</w:t>
      </w:r>
      <w:r>
        <w:rPr>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The mouse was habituated in the box for 10 min on the first day. On day 2, The mouse was first allowed to explore the box containing two identical objects for 10 min. After 24 h, one familiar object was displaced by a novel one with a clearly distinct color and figure. </w:t>
      </w:r>
      <w:bookmarkStart w:id="11" w:name="OLE_LINK39"/>
      <w:r>
        <w:rPr>
          <w:rFonts w:hint="default" w:ascii="Times New Roman" w:hAnsi="Times New Roman" w:cs="Times New Roman"/>
          <w:sz w:val="20"/>
          <w:szCs w:val="20"/>
        </w:rPr>
        <w:t>The mouse was</w:t>
      </w:r>
      <w:bookmarkEnd w:id="11"/>
      <w:r>
        <w:rPr>
          <w:rFonts w:hint="default" w:ascii="Times New Roman" w:hAnsi="Times New Roman" w:cs="Times New Roman"/>
          <w:sz w:val="20"/>
          <w:szCs w:val="20"/>
        </w:rPr>
        <w:t xml:space="preserve"> allowed to explore the box containing two different objects for 5 min. The time for the mouse spent with each object during the NOR test period was recorded by EthoVisioXT tracking system (Noldus Information Technology). A recognition index (RI) for each mouse was computed by this formula：(time spent with a novel object −time spent with a familiar object) / (time spent with a familiar object+ time spent with a novel object). </w:t>
      </w:r>
    </w:p>
    <w:p w14:paraId="1782DEB8">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p>
    <w:p w14:paraId="3F5575E3">
      <w:pPr>
        <w:keepNext w:val="0"/>
        <w:keepLines w:val="0"/>
        <w:pageBreakBefore w:val="0"/>
        <w:kinsoku/>
        <w:wordWrap/>
        <w:overflowPunct/>
        <w:topLinePunct w:val="0"/>
        <w:bidi w:val="0"/>
        <w:snapToGrid/>
        <w:spacing w:line="480" w:lineRule="auto"/>
        <w:ind w:left="0" w:firstLine="0" w:firstLineChars="0"/>
        <w:textAlignment w:val="auto"/>
        <w:rPr>
          <w:rFonts w:hint="default" w:ascii="Times New Roman" w:hAnsi="Times New Roman" w:cs="Times New Roman"/>
          <w:sz w:val="20"/>
          <w:szCs w:val="20"/>
        </w:rPr>
      </w:pPr>
      <w:r>
        <w:rPr>
          <w:rFonts w:hint="default" w:ascii="Times New Roman" w:hAnsi="Times New Roman" w:cs="Times New Roman"/>
          <w:b/>
          <w:bCs/>
          <w:sz w:val="20"/>
          <w:szCs w:val="20"/>
        </w:rPr>
        <w:t>S2. Immunofluorescence staining</w:t>
      </w:r>
    </w:p>
    <w:p w14:paraId="1C87C81B">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The immunofluorescence staining methods as previously described </w:t>
      </w:r>
      <w:r>
        <w:rPr>
          <w:rFonts w:hint="default" w:ascii="Times New Roman" w:hAnsi="Times New Roman" w:cs="Times New Roman"/>
          <w:i/>
          <w:iCs/>
          <w:sz w:val="20"/>
          <w:szCs w:val="20"/>
        </w:rPr>
        <w:t xml:space="preserve">in vivo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ZOTERO_ITEM CSL_CITATION {"citationID":"K2aWQBUy","properties":{"formattedCitation":"(Wang et al., 2017)","plainCitation":"(Wang et al., 2017)","noteIndex":0},"citationItems":[{"id":234,"uris":["http://zotero.org/users/8746688/items/N7KNZ5ZM"],"itemData":{"id":234,"type":"article-journal","container-title":"Experimental Gerontology","DOI":"10.1016/j.exger.2017.03.007","ISSN":"05315565","journalAbbreviation":"Experimental Gerontology","language":"en","page":"42-45","source":"DOI.org (Crossref)","title":"Treatment effects of Cardiotrophin-1 (CT-1) on streptozotocin-induced memory deficits in mice","volume":"92","author":[{"family":"Wang","given":"Dongmei"},{"family":"Liu","given":"Xiaozhuan"},{"family":"Liu","given":"Yumei"},{"family":"Shen","given":"Guomin"},{"family":"Zhu","given":"Xiaoying"},{"family":"Li","given":"Sanqiang"}],"issued":{"date-parts":[["2017",6]]}}}],"schema":"https://github.com/citation-style-language/schema/raw/master/csl-citation.json"}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(Wang et al., 2017)</w:t>
      </w:r>
      <w:r>
        <w:rPr>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and </w:t>
      </w:r>
      <w:r>
        <w:rPr>
          <w:rFonts w:hint="default" w:ascii="Times New Roman" w:hAnsi="Times New Roman" w:cs="Times New Roman"/>
          <w:i/>
          <w:iCs/>
          <w:sz w:val="20"/>
          <w:szCs w:val="20"/>
        </w:rPr>
        <w:t xml:space="preserve">in vitro </w:t>
      </w:r>
      <w:r>
        <w:rPr>
          <w:rFonts w:hint="default" w:ascii="Times New Roman" w:hAnsi="Times New Roman" w:cs="Times New Roman"/>
          <w:i/>
          <w:iCs/>
          <w:sz w:val="20"/>
          <w:szCs w:val="20"/>
        </w:rPr>
        <w:fldChar w:fldCharType="begin"/>
      </w:r>
      <w:r>
        <w:rPr>
          <w:rFonts w:hint="default" w:ascii="Times New Roman" w:hAnsi="Times New Roman" w:cs="Times New Roman"/>
          <w:i/>
          <w:iCs/>
          <w:sz w:val="20"/>
          <w:szCs w:val="20"/>
        </w:rPr>
        <w:instrText xml:space="preserve"> ADDIN ZOTERO_ITEM CSL_CITATION {"citationID":"0MwDKOrj","properties":{"formattedCitation":"(Yuan et al., 2022)","plainCitation":"(Yuan et al., 2022)","noteIndex":0},"citationItems":[{"id":489,"uris":["http://zotero.org/users/8746688/items/Y5YN9PD3"],"itemData":{"id":489,"type":"article-journal","abstract":"Arctigenin (Arc) is a phenylpropanoid dibenzylbutyrolactone lignan in Arctium lappa L, which has been widely applied as a traditional Chinese herbal medicine for treating inflammation. In the present study, we explored the neuroprotective effect and the potential mechanisms of arctigenin against LPS-evoked neuroinflammation, neurodegeneration, and memory impairments in the mice hippocampus. Daily administration of arctigenin (50 mg/kg per day, i.g.) for 28 days revealed noticeable improvements in spatial learning and memory deficits after exposure to LPS treatment. Arctigenin prevented LPS-induced neuronal/synaptic injury and inhibited the increases in Abeta (Aβ) generation and the levels of amyloid precursor protein (APP) and β-site amyloid precursor protein cleavage enzyme 1 (BACE1). Moreover, arctigenin treatment also suppressed glial activation and reduced the production of proinflammatory cytokines. In LPS-treated BV-2 microglial cells and mice, activation of the TLR4 mediated NF-κB signaling pathway was significantly suppressed by arctigenin administration. Mechanistically, arctigenin reduced the LPS-induced interaction of adiponectin receptor 1 (AdipoR1) with TLR4 and its coreceptor CD14 and inhibited the TLR4-mediated downstream inflammatory response. The outcomes of the current study indicate that arctigenin mitigates LPS-induced apoptotic neurodegeneration, amyloidogenesis and neuroinflammation as well as cognitive impairments, and suggest that arctigenin may be a potential therapeutic candidate for neuroinflammation/neurodegeneration-related diseases.","container-title":"Metabolic Brain Disease","DOI":"10.1007/s11011-022-01031-3","ISSN":"1573-7365","journalAbbreviation":"Metab Brain Dis","language":"eng","note":"PMID: 35731324","source":"PubMed","title":"Preventive effects of arctigenin from Arctium lappa L against LPS-induced neuroinflammation and cognitive impairments in mice","author":[{"family":"Yuan","given":"Quan"},{"family":"Wu","given":"Yiran"},{"family":"Wang","given":"Gang"},{"family":"Zhou","given":"Xiang"},{"family":"Dong","given":"Xiaohui"},{"family":"Lou","given":"Zihan"},{"family":"Li","given":"Sanqiang"},{"family":"Wang","given":"Dongmei"}],"issued":{"date-parts":[["2022",6,22]]}}}],"schema":"https://github.com/citation-style-language/schema/raw/master/csl-citation.json"} </w:instrText>
      </w:r>
      <w:r>
        <w:rPr>
          <w:rFonts w:hint="default" w:ascii="Times New Roman" w:hAnsi="Times New Roman" w:cs="Times New Roman"/>
          <w:i/>
          <w:iCs/>
          <w:sz w:val="20"/>
          <w:szCs w:val="20"/>
        </w:rPr>
        <w:fldChar w:fldCharType="separate"/>
      </w:r>
      <w:r>
        <w:rPr>
          <w:rFonts w:hint="default" w:ascii="Times New Roman" w:hAnsi="Times New Roman" w:cs="Times New Roman"/>
          <w:sz w:val="20"/>
          <w:szCs w:val="20"/>
        </w:rPr>
        <w:t>(Yuan et al., 2022)</w:t>
      </w:r>
      <w:r>
        <w:rPr>
          <w:rFonts w:hint="default" w:ascii="Times New Roman" w:hAnsi="Times New Roman" w:cs="Times New Roman"/>
          <w:i/>
          <w:iCs/>
          <w:sz w:val="20"/>
          <w:szCs w:val="20"/>
        </w:rPr>
        <w:fldChar w:fldCharType="end"/>
      </w:r>
      <w:r>
        <w:rPr>
          <w:rFonts w:hint="default" w:ascii="Times New Roman" w:hAnsi="Times New Roman" w:cs="Times New Roman"/>
          <w:sz w:val="20"/>
          <w:szCs w:val="20"/>
        </w:rPr>
        <w:t>. For</w:t>
      </w:r>
      <w:r>
        <w:rPr>
          <w:rFonts w:hint="default" w:ascii="Times New Roman" w:hAnsi="Times New Roman" w:cs="Times New Roman"/>
          <w:i/>
          <w:iCs/>
          <w:sz w:val="20"/>
          <w:szCs w:val="20"/>
        </w:rPr>
        <w:t xml:space="preserve"> in vivo </w:t>
      </w:r>
      <w:r>
        <w:rPr>
          <w:rFonts w:hint="default" w:ascii="Times New Roman" w:hAnsi="Times New Roman" w:cs="Times New Roman"/>
          <w:sz w:val="20"/>
          <w:szCs w:val="20"/>
        </w:rPr>
        <w:t xml:space="preserve">analysis, the mouse brains were collected and performed to prepare forzen brain sleces (20-μm thick). Brain sections were blocked and incubated with </w:t>
      </w:r>
      <w:bookmarkStart w:id="12" w:name="OLE_LINK46"/>
      <w:bookmarkStart w:id="13" w:name="OLE_LINK41"/>
      <w:r>
        <w:rPr>
          <w:rFonts w:hint="default" w:ascii="Times New Roman" w:hAnsi="Times New Roman" w:cs="Times New Roman"/>
          <w:sz w:val="20"/>
          <w:szCs w:val="20"/>
        </w:rPr>
        <w:t>PSD95 antibodies</w:t>
      </w:r>
      <w:bookmarkEnd w:id="12"/>
      <w:r>
        <w:rPr>
          <w:rFonts w:hint="default" w:ascii="Times New Roman" w:hAnsi="Times New Roman" w:cs="Times New Roman"/>
          <w:sz w:val="20"/>
          <w:szCs w:val="20"/>
        </w:rPr>
        <w:t xml:space="preserve"> (1:300; Millipore) and Synapsin-1 antibodies (1:200; Cell Signaling Technology) </w:t>
      </w:r>
      <w:bookmarkEnd w:id="13"/>
      <w:r>
        <w:rPr>
          <w:rFonts w:hint="default" w:ascii="Times New Roman" w:hAnsi="Times New Roman" w:cs="Times New Roman"/>
          <w:sz w:val="20"/>
          <w:szCs w:val="20"/>
        </w:rPr>
        <w:t xml:space="preserve">overnight at 4 </w:t>
      </w:r>
      <w:r>
        <w:rPr>
          <w:rFonts w:hint="default" w:ascii="Times New Roman" w:hAnsi="Times New Roman" w:cs="Times New Roman"/>
          <w:sz w:val="20"/>
          <w:szCs w:val="20"/>
          <w:vertAlign w:val="superscript"/>
        </w:rPr>
        <w:t>◦</w:t>
      </w:r>
      <w:r>
        <w:rPr>
          <w:rFonts w:hint="default" w:ascii="Times New Roman" w:hAnsi="Times New Roman" w:cs="Times New Roman"/>
          <w:sz w:val="20"/>
          <w:szCs w:val="20"/>
        </w:rPr>
        <w:t xml:space="preserve">C. After the secondary antibody incubation (Alexa − 488 or − 594, Proteintech), slides were incubated with 4',6-diamidino-2-phenylindole （DAPI） and imaged with a confocal microscope </w:t>
      </w:r>
      <w:r>
        <w:rPr>
          <w:rFonts w:hint="default" w:ascii="Times New Roman" w:hAnsi="Times New Roman" w:cs="Times New Roman"/>
          <w:kern w:val="0"/>
          <w:sz w:val="20"/>
          <w:szCs w:val="20"/>
          <w:lang w:bidi="ar"/>
        </w:rPr>
        <w:t xml:space="preserve">(ZEISS, Germany) </w:t>
      </w:r>
      <w:r>
        <w:rPr>
          <w:rFonts w:hint="default" w:ascii="Times New Roman" w:hAnsi="Times New Roman" w:cs="Times New Roman"/>
          <w:sz w:val="20"/>
          <w:szCs w:val="20"/>
        </w:rPr>
        <w:t xml:space="preserve">followed by </w:t>
      </w:r>
      <w:bookmarkStart w:id="14" w:name="OLE_LINK90"/>
      <w:bookmarkStart w:id="15" w:name="OLE_LINK91"/>
      <w:r>
        <w:rPr>
          <w:rFonts w:hint="default" w:ascii="Times New Roman" w:hAnsi="Times New Roman" w:cs="Times New Roman"/>
          <w:sz w:val="20"/>
          <w:szCs w:val="20"/>
        </w:rPr>
        <w:t>three-dimensional reconstruction using ZEISS-Elements Advanced Research software.</w:t>
      </w:r>
    </w:p>
    <w:bookmarkEnd w:id="14"/>
    <w:bookmarkEnd w:id="15"/>
    <w:p w14:paraId="00B933EB">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rPr>
        <w:t>For</w:t>
      </w:r>
      <w:r>
        <w:rPr>
          <w:rFonts w:hint="default" w:ascii="Times New Roman" w:hAnsi="Times New Roman" w:cs="Times New Roman"/>
          <w:i/>
          <w:iCs/>
          <w:sz w:val="20"/>
          <w:szCs w:val="20"/>
        </w:rPr>
        <w:t xml:space="preserve"> in vitro </w:t>
      </w:r>
      <w:r>
        <w:rPr>
          <w:rFonts w:hint="default" w:ascii="Times New Roman" w:hAnsi="Times New Roman" w:cs="Times New Roman"/>
          <w:sz w:val="20"/>
          <w:szCs w:val="20"/>
        </w:rPr>
        <w:t xml:space="preserve">analysis, SH-SY5Y cells were collected and fixed with 4% paraformaldehyde and treated with 0.02% Triton X100. After blocking in 10 % goat serum for 1 h, the cells were treated with </w:t>
      </w:r>
      <w:r>
        <w:rPr>
          <w:rFonts w:hint="default" w:ascii="Times New Roman" w:hAnsi="Times New Roman" w:cs="Times New Roman"/>
          <w:kern w:val="0"/>
          <w:sz w:val="20"/>
          <w:szCs w:val="20"/>
        </w:rPr>
        <w:t>primary antibodies</w:t>
      </w:r>
      <w:r>
        <w:rPr>
          <w:rFonts w:hint="default" w:ascii="Times New Roman" w:hAnsi="Times New Roman" w:cs="Times New Roman"/>
          <w:sz w:val="20"/>
          <w:szCs w:val="20"/>
        </w:rPr>
        <w:t xml:space="preserve"> included</w:t>
      </w:r>
      <w:r>
        <w:rPr>
          <w:rFonts w:hint="default" w:ascii="Times New Roman" w:hAnsi="Times New Roman" w:cs="Times New Roman"/>
          <w:sz w:val="20"/>
          <w:szCs w:val="20"/>
          <w:lang w:bidi="ar"/>
        </w:rPr>
        <w:t xml:space="preserve"> mouse anti-NLRP3, rabbit anti-caspase 1 p20, rabbit anti-CYP1A1 </w:t>
      </w:r>
      <w:r>
        <w:rPr>
          <w:rFonts w:hint="default" w:ascii="Times New Roman" w:hAnsi="Times New Roman" w:cs="Times New Roman"/>
          <w:sz w:val="20"/>
          <w:szCs w:val="20"/>
        </w:rPr>
        <w:t>and incubated at 4 °C overnight, respectively. Then, the cells were treated with secondary antibody incubation (Alexa − 488 or − 594, Proteintech) for 1 h. The nuclei was counterstained with DAPI and images were obtained under a confocal microscope.</w:t>
      </w:r>
    </w:p>
    <w:p w14:paraId="0F7EA48C">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p>
    <w:p w14:paraId="13B9CF5F">
      <w:pPr>
        <w:keepNext w:val="0"/>
        <w:keepLines w:val="0"/>
        <w:pageBreakBefore w:val="0"/>
        <w:kinsoku/>
        <w:wordWrap/>
        <w:overflowPunct/>
        <w:topLinePunct w:val="0"/>
        <w:bidi w:val="0"/>
        <w:snapToGrid/>
        <w:spacing w:line="480" w:lineRule="auto"/>
        <w:ind w:left="0" w:firstLine="0" w:firstLineChars="0"/>
        <w:textAlignment w:val="auto"/>
        <w:rPr>
          <w:rFonts w:hint="default" w:ascii="Times New Roman" w:hAnsi="Times New Roman" w:cs="Times New Roman"/>
          <w:sz w:val="20"/>
          <w:szCs w:val="20"/>
        </w:rPr>
      </w:pPr>
      <w:r>
        <w:rPr>
          <w:rFonts w:hint="default" w:ascii="Times New Roman" w:hAnsi="Times New Roman" w:cs="Times New Roman"/>
          <w:b/>
          <w:bCs/>
          <w:sz w:val="20"/>
          <w:szCs w:val="20"/>
        </w:rPr>
        <w:t>S3. Western blot analysis</w:t>
      </w:r>
    </w:p>
    <w:p w14:paraId="29591591">
      <w:pPr>
        <w:keepNext w:val="0"/>
        <w:keepLines w:val="0"/>
        <w:pageBreakBefore w:val="0"/>
        <w:kinsoku/>
        <w:wordWrap/>
        <w:overflowPunct/>
        <w:topLinePunct w:val="0"/>
        <w:bidi w:val="0"/>
        <w:snapToGrid/>
        <w:spacing w:line="480" w:lineRule="auto"/>
        <w:ind w:left="0"/>
        <w:textAlignment w:val="auto"/>
        <w:rPr>
          <w:rFonts w:hint="default" w:ascii="Times New Roman" w:hAnsi="Times New Roman" w:cs="Times New Roman"/>
          <w:sz w:val="20"/>
          <w:szCs w:val="20"/>
        </w:rPr>
      </w:pPr>
      <w:r>
        <w:rPr>
          <w:rFonts w:hint="default" w:ascii="Times New Roman" w:hAnsi="Times New Roman" w:cs="Times New Roman"/>
          <w:sz w:val="20"/>
          <w:szCs w:val="20"/>
        </w:rPr>
        <w:t>Total protein was extracted from mouse brain or SH-SY5Y cells using RIPA buffer with 1 mM PMSF and 2% phosphatase inhibitor cocktail. Equal amounts of total protein were separated by SDS-PAGE and transferred onto nitrocellulose (NC) membranes. Subsequently, the NC membranes were sealed in 5% skim milk for 2 h and incubated with the following primary antibodies: mouse anti-AhR (1:3000), mouse anti-NLRP3 (1:3000), rabbit anti-ASC (1:1000), rabbit anti-caspase1 p20 (1:1000), mouse anti-N-GSDMD (1:3000), mouse anti-GSDMD (1:3000), rabbit anti-ASC (1:1000), and rabbit anti-CYP1A1 (1:1000) at 4°C overnight. After that, the membranes were cleaned three times with PBST and incubated in an HRP-labeled secondary antibody for 1 h at room temperature, followed by an ECL detection reagent to observe protein bands.</w:t>
      </w:r>
      <w:r>
        <w:rPr>
          <w:rFonts w:hint="default" w:ascii="Times New Roman" w:hAnsi="Times New Roman" w:cs="Times New Roman"/>
          <w:sz w:val="20"/>
          <w:szCs w:val="20"/>
        </w:rPr>
        <w:br w:type="page"/>
      </w:r>
    </w:p>
    <w:p w14:paraId="62346EB9">
      <w:pPr>
        <w:keepNext w:val="0"/>
        <w:keepLines w:val="0"/>
        <w:pageBreakBefore w:val="0"/>
        <w:kinsoku/>
        <w:wordWrap/>
        <w:overflowPunct/>
        <w:topLinePunct w:val="0"/>
        <w:bidi w:val="0"/>
        <w:snapToGrid/>
        <w:spacing w:line="480" w:lineRule="auto"/>
        <w:ind w:left="0" w:firstLine="0" w:firstLineChars="0"/>
        <w:textAlignment w:val="auto"/>
        <w:rPr>
          <w:rFonts w:hint="default" w:ascii="Times New Roman" w:hAnsi="Times New Roman" w:cs="Times New Roman"/>
          <w:b/>
          <w:color w:val="auto"/>
          <w:sz w:val="20"/>
          <w:szCs w:val="20"/>
          <w:shd w:val="clear" w:color="auto" w:fill="auto"/>
        </w:rPr>
      </w:pPr>
      <w:r>
        <w:rPr>
          <w:rFonts w:hint="default" w:ascii="Times New Roman" w:hAnsi="Times New Roman" w:cs="Times New Roman"/>
          <w:b/>
          <w:sz w:val="20"/>
          <w:szCs w:val="20"/>
        </w:rPr>
        <w:t>Reference</w:t>
      </w:r>
    </w:p>
    <w:p w14:paraId="525251F1">
      <w:pPr>
        <w:pStyle w:val="12"/>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ADDIN ZOTERO_BIBL {"uncited":[],"omitted":[],"custom":[]} CSL_BIBLIOGRAPHY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Wang, C., Zhao, Y., Wang, L., Pan, S., Liu, Y., Li, S., Wang, D., 2021. C-phycocyanin Mitigates Cognitive Impairment in Doxorubicin-Induced Chemobrain: Impact on Neuroinflammation, Oxidative Stress, and Brain Mitochondrial and Synaptic Alterations. Neurochem Res 46, 149–158. https://doi.org/10.1007/s11064-020-03164-2</w:t>
      </w:r>
    </w:p>
    <w:p w14:paraId="3C4E6E07">
      <w:pPr>
        <w:pStyle w:val="12"/>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t>Wang, D., Cao, L., Pan, S., Wang, G., Wang, L., Cao, N., Hao, X., 2021. Sirt3-mediated mitochondrial dysfunction is involved in fluoride-induced cognitive deficits. Food and Chemical Toxicology 158, 112665. https://doi.org/10.1016/j.fct.2021.112665</w:t>
      </w:r>
    </w:p>
    <w:p w14:paraId="1AED746D">
      <w:pPr>
        <w:pStyle w:val="12"/>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t>Wang, D., Cao, L., Zhou, X., Wang, G., Ma, Y., Hao, X., Fan, H., 2022. Mitigation of honokiol on fluoride-induced mitochondrial oxidative stress, mitochondrial dysfunction, and cognitive deficits through activating AMPK/PGC-1α/Sirt3. Journal of Hazardous Materials 437, 129381. https://doi.org/10.1016/j.jhazmat.2022.129381</w:t>
      </w:r>
    </w:p>
    <w:p w14:paraId="3238FEE8">
      <w:pPr>
        <w:pStyle w:val="12"/>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t>Wang, D., Liu, X., Liu, Y., Shen, G., Zhu, X., Li, S., 2017. Treatment effects of Cardiotrophin-1 (CT-1) on streptozotocin-induced memory deficits in mice. Experimental Gerontology 92, 42–45. https://doi.org/10.1016/j.exger.2017.03.007</w:t>
      </w:r>
    </w:p>
    <w:p w14:paraId="0E3D5F7F">
      <w:pPr>
        <w:pStyle w:val="12"/>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t>Yuan, Q., Wu, Y., Wang, G., Zhou, X., Dong, X., Lou, Z., Li, S., Wang, D., 2022. Preventive effects of arctigenin from Arctium lappa L against LPS-induced neuroinflammation and cognitive impairments in mice. Metab Brain Dis. https://doi.org/10.1007/s11011-022-01031-3</w:t>
      </w:r>
    </w:p>
    <w:p w14:paraId="6938C49B">
      <w:pPr>
        <w:pStyle w:val="11"/>
        <w:keepNext w:val="0"/>
        <w:keepLines w:val="0"/>
        <w:pageBreakBefore w:val="0"/>
        <w:widowControl/>
        <w:kinsoku/>
        <w:wordWrap/>
        <w:overflowPunct/>
        <w:topLinePunct w:val="0"/>
        <w:autoSpaceDE w:val="0"/>
        <w:autoSpaceDN w:val="0"/>
        <w:bidi w:val="0"/>
        <w:adjustRightInd w:val="0"/>
        <w:snapToGrid/>
        <w:spacing w:line="480" w:lineRule="auto"/>
        <w:ind w:left="480" w:hanging="400" w:hangingChars="200"/>
        <w:textAlignment w:val="auto"/>
        <w:rPr>
          <w:rFonts w:hint="default" w:ascii="Times New Roman" w:hAnsi="Times New Roman" w:cs="Times New Roman"/>
          <w:sz w:val="20"/>
          <w:szCs w:val="20"/>
        </w:rPr>
      </w:pPr>
      <w:r>
        <w:rPr>
          <w:rFonts w:hint="default" w:ascii="Times New Roman" w:hAnsi="Times New Roman" w:cs="Times New Roman"/>
          <w:sz w:val="20"/>
          <w:szCs w:val="20"/>
        </w:rPr>
        <w:fldChar w:fldCharType="end"/>
      </w:r>
    </w:p>
    <w:sectPr>
      <w:footerReference r:id="rId5" w:type="default"/>
      <w:pgSz w:w="11906" w:h="16838"/>
      <w:pgMar w:top="1440" w:right="1800" w:bottom="1440" w:left="1800" w:header="851" w:footer="992" w:gutter="0"/>
      <w:lnNumType w:countBy="0"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harisSIL">
    <w:altName w:val="Times New Roman"/>
    <w:panose1 w:val="00000000000000000000"/>
    <w:charset w:val="00"/>
    <w:family w:val="auto"/>
    <w:pitch w:val="default"/>
    <w:sig w:usb0="00000000" w:usb1="00000000" w:usb2="00000000" w:usb3="00000000" w:csb0="00000000" w:csb1="00000000"/>
  </w:font>
  <w:font w:name="MyriadPro-BoldSemi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TIX-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778C">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BB493">
                          <w:pPr>
                            <w:pStyle w:val="2"/>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1BB493">
                    <w:pPr>
                      <w:pStyle w:val="2"/>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09"/>
    <w:rsid w:val="002C18A0"/>
    <w:rsid w:val="003C3E81"/>
    <w:rsid w:val="00412233"/>
    <w:rsid w:val="004C3F71"/>
    <w:rsid w:val="005D53B5"/>
    <w:rsid w:val="005E4F58"/>
    <w:rsid w:val="00685BB6"/>
    <w:rsid w:val="006B1D09"/>
    <w:rsid w:val="00750109"/>
    <w:rsid w:val="009E6B57"/>
    <w:rsid w:val="00A13562"/>
    <w:rsid w:val="00A60A2D"/>
    <w:rsid w:val="00B9551F"/>
    <w:rsid w:val="00BE1FC5"/>
    <w:rsid w:val="00C41424"/>
    <w:rsid w:val="00CE6427"/>
    <w:rsid w:val="00E449C0"/>
    <w:rsid w:val="078252A5"/>
    <w:rsid w:val="0F6120C4"/>
    <w:rsid w:val="2453193B"/>
    <w:rsid w:val="26784DB2"/>
    <w:rsid w:val="28B67C70"/>
    <w:rsid w:val="2A9D708C"/>
    <w:rsid w:val="2DC93ECF"/>
    <w:rsid w:val="34B16598"/>
    <w:rsid w:val="40B83001"/>
    <w:rsid w:val="4E4D5BC8"/>
    <w:rsid w:val="55766E6E"/>
    <w:rsid w:val="5BC23C30"/>
    <w:rsid w:val="6DE2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utoSpaceDE w:val="0"/>
      <w:autoSpaceDN w:val="0"/>
      <w:adjustRightInd w:val="0"/>
      <w:spacing w:line="480" w:lineRule="auto"/>
      <w:ind w:firstLine="560" w:firstLineChars="200"/>
      <w:jc w:val="both"/>
    </w:pPr>
    <w:rPr>
      <w:rFonts w:ascii="Times New Roman" w:hAnsi="Times New Roman" w:cs="Times New Roman" w:eastAsiaTheme="minorEastAsia"/>
      <w:color w:val="000000"/>
      <w:kern w:val="2"/>
      <w:sz w:val="28"/>
      <w:szCs w:val="28"/>
      <w:shd w:val="clear" w:color="auto" w:fill="FFFFFF"/>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6">
    <w:name w:val="line number"/>
    <w:basedOn w:val="5"/>
    <w:semiHidden/>
    <w:unhideWhenUsed/>
    <w:qFormat/>
    <w:uiPriority w:val="99"/>
  </w:style>
  <w:style w:type="character" w:styleId="7">
    <w:name w:val="Hyperlink"/>
    <w:basedOn w:val="5"/>
    <w:semiHidden/>
    <w:unhideWhenUsed/>
    <w:qFormat/>
    <w:uiPriority w:val="99"/>
    <w:rPr>
      <w:color w:val="0000FF"/>
      <w:u w:val="single"/>
    </w:rPr>
  </w:style>
  <w:style w:type="paragraph" w:customStyle="1" w:styleId="8">
    <w:name w:val="书目1"/>
    <w:basedOn w:val="1"/>
    <w:next w:val="1"/>
    <w:unhideWhenUsed/>
    <w:qFormat/>
    <w:uiPriority w:val="37"/>
    <w:pPr>
      <w:ind w:left="720" w:hanging="720"/>
    </w:pPr>
  </w:style>
  <w:style w:type="paragraph" w:customStyle="1" w:styleId="9">
    <w:name w:val="书目2"/>
    <w:basedOn w:val="1"/>
    <w:next w:val="1"/>
    <w:unhideWhenUsed/>
    <w:qFormat/>
    <w:uiPriority w:val="37"/>
    <w:pPr>
      <w:tabs>
        <w:tab w:val="left" w:pos="384"/>
      </w:tabs>
      <w:spacing w:line="240" w:lineRule="auto"/>
      <w:ind w:left="384" w:hanging="384"/>
    </w:pPr>
  </w:style>
  <w:style w:type="paragraph" w:customStyle="1" w:styleId="10">
    <w:name w:val="书目3"/>
    <w:basedOn w:val="1"/>
    <w:next w:val="1"/>
    <w:unhideWhenUsed/>
    <w:qFormat/>
    <w:uiPriority w:val="37"/>
    <w:pPr>
      <w:spacing w:line="240" w:lineRule="auto"/>
      <w:ind w:left="720" w:hanging="720"/>
    </w:pPr>
  </w:style>
  <w:style w:type="paragraph" w:customStyle="1" w:styleId="11">
    <w:name w:val="书目4"/>
    <w:basedOn w:val="1"/>
    <w:next w:val="1"/>
    <w:unhideWhenUsed/>
    <w:qFormat/>
    <w:uiPriority w:val="37"/>
    <w:pPr>
      <w:spacing w:line="240" w:lineRule="auto"/>
      <w:ind w:left="720" w:hanging="720"/>
    </w:pPr>
  </w:style>
  <w:style w:type="paragraph" w:customStyle="1" w:styleId="12">
    <w:name w:val="Bibliography"/>
    <w:basedOn w:val="1"/>
    <w:next w:val="1"/>
    <w:unhideWhenUsed/>
    <w:qFormat/>
    <w:uiPriority w:val="37"/>
    <w:pPr>
      <w:spacing w:line="240" w:lineRule="auto"/>
      <w:ind w:left="720" w:hanging="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1109</Words>
  <Characters>6119</Characters>
  <Lines>110</Lines>
  <Paragraphs>31</Paragraphs>
  <TotalTime>0</TotalTime>
  <ScaleCrop>false</ScaleCrop>
  <LinksUpToDate>false</LinksUpToDate>
  <CharactersWithSpaces>7201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2025-01-10T06:35:00Z</dcterms:created>
  <dc:creator>Administraror</dc:creator>
  <cp:lastModifiedBy>ZY</cp:lastModifiedBy>
  <dcterms:modified xsi:type="dcterms:W3CDTF">2025-06-05T08:05:29Z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id="JKcIzz0u"/&gt;&lt;style id="http://www.zotero.org/styles/toxicology" hasBibliography="1" bibliographyStyleHasBeenSet="1"/&gt;&lt;prefs&gt;&lt;pref name="fieldType" value="Field"/&gt;&lt;/prefs&gt;&lt;/data&gt;</vt:lpwstr>
  </property>
  <property fmtid="{D5CDD505-2E9C-101B-9397-08002B2CF9AE}" pid="3" name="KSOTemplateDocerSaveRecord">
    <vt:lpwstr>eyJoZGlkIjoiM2YwMWNkMjBiOTFmOGYwNTI4MDdhNjc1NmRlZDFjYmEiLCJ1c2VySWQiOiI0MjQ1NDExMzQifQ==</vt:lpwstr>
  </property>
  <property fmtid="{D5CDD505-2E9C-101B-9397-08002B2CF9AE}" pid="4" name="KSOProductBuildVer">
    <vt:lpwstr>2052-12.1.0.21171</vt:lpwstr>
  </property>
  <property fmtid="{D5CDD505-2E9C-101B-9397-08002B2CF9AE}" pid="5" name="ICV">
    <vt:lpwstr>0EE65DECEFFC49ED86576E43032D58AA_12</vt:lpwstr>
  </property>
</Properties>
</file>