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50"/>
        <w:gridCol w:w="4722"/>
      </w:tblGrid>
      <w:tr w:rsidR="008A08FD" w14:paraId="0210B831" w14:textId="77777777" w:rsidTr="00FA01EB">
        <w:trPr>
          <w:cantSplit/>
          <w:trHeight w:val="221"/>
        </w:trPr>
        <w:tc>
          <w:tcPr>
            <w:tcW w:w="967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6094C9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3E73F87D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right="800"/>
              <w:jc w:val="center"/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Table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 xml:space="preserve"> 1. 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Patient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characteristics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intraoperative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 xml:space="preserve"> data and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postoperative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outcomes</w:t>
            </w:r>
            <w:proofErr w:type="spellEnd"/>
          </w:p>
        </w:tc>
      </w:tr>
      <w:tr w:rsidR="008A08FD" w14:paraId="15207276" w14:textId="77777777" w:rsidTr="00FA01EB">
        <w:trPr>
          <w:cantSplit/>
          <w:trHeight w:val="231"/>
        </w:trPr>
        <w:tc>
          <w:tcPr>
            <w:tcW w:w="4950" w:type="dxa"/>
            <w:tcBorders>
              <w:top w:val="none" w:sz="0" w:space="0" w:color="000000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5676EF0A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number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patients</w:t>
            </w:r>
            <w:proofErr w:type="spellEnd"/>
          </w:p>
        </w:tc>
        <w:tc>
          <w:tcPr>
            <w:tcW w:w="4722" w:type="dxa"/>
            <w:tcBorders>
              <w:top w:val="none" w:sz="0" w:space="0" w:color="000000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2BBD382A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>44</w:t>
            </w:r>
          </w:p>
        </w:tc>
      </w:tr>
      <w:tr w:rsidR="008A08FD" w14:paraId="14D1B84C" w14:textId="77777777" w:rsidTr="00FA01EB">
        <w:trPr>
          <w:cantSplit/>
          <w:trHeight w:val="341"/>
        </w:trPr>
        <w:tc>
          <w:tcPr>
            <w:tcW w:w="495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18D3CC1F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>A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ge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 (years)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Ninguno"/>
                <w:rFonts w:ascii="Calibri" w:hAnsi="Calibri"/>
                <w:position w:val="10"/>
                <w:sz w:val="18"/>
                <w:szCs w:val="18"/>
              </w:rPr>
              <w:t>a</w:t>
            </w:r>
          </w:p>
        </w:tc>
        <w:tc>
          <w:tcPr>
            <w:tcW w:w="4722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104A7E08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 xml:space="preserve">57 ± 15 </w:t>
            </w:r>
          </w:p>
        </w:tc>
      </w:tr>
      <w:tr w:rsidR="008A08FD" w14:paraId="461DF9C1" w14:textId="77777777" w:rsidTr="00FA01EB">
        <w:trPr>
          <w:cantSplit/>
          <w:trHeight w:val="241"/>
        </w:trPr>
        <w:tc>
          <w:tcPr>
            <w:tcW w:w="495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4C9808B6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Gender</w:t>
            </w:r>
            <w:proofErr w:type="spellEnd"/>
          </w:p>
        </w:tc>
        <w:tc>
          <w:tcPr>
            <w:tcW w:w="4722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7F93046E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>16 F (36%); 28 M (64%)</w:t>
            </w:r>
          </w:p>
        </w:tc>
      </w:tr>
      <w:tr w:rsidR="008A08FD" w14:paraId="02E6ABD7" w14:textId="77777777" w:rsidTr="00FA01EB">
        <w:trPr>
          <w:cantSplit/>
          <w:trHeight w:val="903"/>
        </w:trPr>
        <w:tc>
          <w:tcPr>
            <w:tcW w:w="495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07033C74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ASA score</w:t>
            </w:r>
          </w:p>
          <w:p w14:paraId="2232F1BA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ASA I</w:t>
            </w:r>
          </w:p>
          <w:p w14:paraId="17704045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ASA II</w:t>
            </w:r>
          </w:p>
          <w:p w14:paraId="485E466C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>ASA III</w:t>
            </w:r>
          </w:p>
        </w:tc>
        <w:tc>
          <w:tcPr>
            <w:tcW w:w="4722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63C06F47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</w:p>
          <w:p w14:paraId="6879F306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 xml:space="preserve"> 9  (20%)</w:t>
            </w:r>
          </w:p>
          <w:p w14:paraId="296D0D2A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>24 (55%)</w:t>
            </w:r>
          </w:p>
          <w:p w14:paraId="579ED1E2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>11 (25%)</w:t>
            </w:r>
          </w:p>
        </w:tc>
      </w:tr>
      <w:tr w:rsidR="008A08FD" w14:paraId="039AA5F8" w14:textId="77777777" w:rsidTr="00FA01EB">
        <w:trPr>
          <w:cantSplit/>
          <w:trHeight w:val="351"/>
        </w:trPr>
        <w:tc>
          <w:tcPr>
            <w:tcW w:w="495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665AF753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>BMI (kg/m</w:t>
            </w:r>
            <w:r>
              <w:rPr>
                <w:rStyle w:val="Ninguno"/>
                <w:rFonts w:ascii="Calibri" w:hAnsi="Calibri"/>
                <w:position w:val="11"/>
                <w:sz w:val="18"/>
                <w:szCs w:val="18"/>
                <w:vertAlign w:val="superscript"/>
              </w:rPr>
              <w:t>2</w:t>
            </w:r>
            <w:r>
              <w:rPr>
                <w:rFonts w:ascii="Calibri" w:hAnsi="Calibri"/>
                <w:sz w:val="18"/>
                <w:szCs w:val="18"/>
              </w:rPr>
              <w:t xml:space="preserve">) </w:t>
            </w:r>
            <w:r>
              <w:rPr>
                <w:rStyle w:val="Ninguno"/>
                <w:rFonts w:ascii="Calibri" w:hAnsi="Calibri"/>
                <w:position w:val="10"/>
                <w:sz w:val="18"/>
                <w:szCs w:val="18"/>
              </w:rPr>
              <w:t>a</w:t>
            </w:r>
          </w:p>
        </w:tc>
        <w:tc>
          <w:tcPr>
            <w:tcW w:w="4722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4ACF090A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>28 ± 5</w:t>
            </w:r>
          </w:p>
        </w:tc>
      </w:tr>
      <w:tr w:rsidR="008A08FD" w14:paraId="478B303D" w14:textId="77777777" w:rsidTr="00FA01EB">
        <w:trPr>
          <w:cantSplit/>
          <w:trHeight w:val="241"/>
        </w:trPr>
        <w:tc>
          <w:tcPr>
            <w:tcW w:w="495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5EDDCCB2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>- BMI &lt; 30</w:t>
            </w:r>
          </w:p>
        </w:tc>
        <w:tc>
          <w:tcPr>
            <w:tcW w:w="4722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7E02ABF1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>31 (70%)</w:t>
            </w:r>
          </w:p>
        </w:tc>
      </w:tr>
      <w:tr w:rsidR="008A08FD" w14:paraId="7BA6E181" w14:textId="77777777" w:rsidTr="00FA01EB">
        <w:trPr>
          <w:cantSplit/>
          <w:trHeight w:val="241"/>
        </w:trPr>
        <w:tc>
          <w:tcPr>
            <w:tcW w:w="495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41C67F62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>- BMI ≥ 30</w:t>
            </w:r>
          </w:p>
        </w:tc>
        <w:tc>
          <w:tcPr>
            <w:tcW w:w="4722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7711A9AA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>13 (30%)</w:t>
            </w:r>
          </w:p>
        </w:tc>
      </w:tr>
      <w:tr w:rsidR="008A08FD" w14:paraId="49CDB70F" w14:textId="77777777" w:rsidTr="00FA01EB">
        <w:trPr>
          <w:cantSplit/>
          <w:trHeight w:val="241"/>
        </w:trPr>
        <w:tc>
          <w:tcPr>
            <w:tcW w:w="495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4C2610B7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Smoker</w:t>
            </w:r>
            <w:proofErr w:type="spellEnd"/>
          </w:p>
        </w:tc>
        <w:tc>
          <w:tcPr>
            <w:tcW w:w="4722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6B5C2A40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>17 (39%)</w:t>
            </w:r>
          </w:p>
        </w:tc>
      </w:tr>
      <w:tr w:rsidR="008A08FD" w14:paraId="59DD4DF2" w14:textId="77777777" w:rsidTr="00FA01EB">
        <w:trPr>
          <w:cantSplit/>
          <w:trHeight w:val="241"/>
        </w:trPr>
        <w:tc>
          <w:tcPr>
            <w:tcW w:w="495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73F4A42C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>Diabetes mellitus</w:t>
            </w:r>
          </w:p>
        </w:tc>
        <w:tc>
          <w:tcPr>
            <w:tcW w:w="4722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0B4B1124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 xml:space="preserve"> 7 (16%)</w:t>
            </w:r>
          </w:p>
        </w:tc>
      </w:tr>
      <w:tr w:rsidR="008A08FD" w14:paraId="63439E15" w14:textId="77777777" w:rsidTr="00FA01EB">
        <w:trPr>
          <w:cantSplit/>
          <w:trHeight w:val="241"/>
        </w:trPr>
        <w:tc>
          <w:tcPr>
            <w:tcW w:w="495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1A041BC7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 xml:space="preserve">Arterial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hypertension</w:t>
            </w:r>
            <w:proofErr w:type="spellEnd"/>
          </w:p>
        </w:tc>
        <w:tc>
          <w:tcPr>
            <w:tcW w:w="4722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2AAA531F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>23 (52%)</w:t>
            </w:r>
          </w:p>
        </w:tc>
      </w:tr>
      <w:tr w:rsidR="008A08FD" w14:paraId="5ECC4469" w14:textId="77777777" w:rsidTr="00FA01EB">
        <w:trPr>
          <w:cantSplit/>
          <w:trHeight w:val="241"/>
        </w:trPr>
        <w:tc>
          <w:tcPr>
            <w:tcW w:w="495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341472F5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Hypercholesterolaemia</w:t>
            </w:r>
            <w:proofErr w:type="spellEnd"/>
          </w:p>
        </w:tc>
        <w:tc>
          <w:tcPr>
            <w:tcW w:w="4722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0F8AE6FD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>18 (41%)</w:t>
            </w:r>
          </w:p>
        </w:tc>
      </w:tr>
      <w:tr w:rsidR="008A08FD" w14:paraId="66391041" w14:textId="77777777" w:rsidTr="00FA01EB">
        <w:trPr>
          <w:cantSplit/>
          <w:trHeight w:val="241"/>
        </w:trPr>
        <w:tc>
          <w:tcPr>
            <w:tcW w:w="495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5D695B71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Hypertriglyceridaemia</w:t>
            </w:r>
            <w:proofErr w:type="spellEnd"/>
          </w:p>
        </w:tc>
        <w:tc>
          <w:tcPr>
            <w:tcW w:w="4722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2DE5DC16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 xml:space="preserve"> 6 (14%)</w:t>
            </w:r>
          </w:p>
        </w:tc>
      </w:tr>
      <w:tr w:rsidR="008A08FD" w14:paraId="25F21E69" w14:textId="77777777" w:rsidTr="00FA01EB">
        <w:trPr>
          <w:cantSplit/>
          <w:trHeight w:val="241"/>
        </w:trPr>
        <w:tc>
          <w:tcPr>
            <w:tcW w:w="9672" w:type="dxa"/>
            <w:gridSpan w:val="2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36318CC4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right="800"/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Surgical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indication</w:t>
            </w:r>
            <w:proofErr w:type="spellEnd"/>
          </w:p>
        </w:tc>
      </w:tr>
      <w:tr w:rsidR="008A08FD" w14:paraId="2CAC662A" w14:textId="77777777" w:rsidTr="00FA01EB">
        <w:trPr>
          <w:cantSplit/>
          <w:trHeight w:val="241"/>
        </w:trPr>
        <w:tc>
          <w:tcPr>
            <w:tcW w:w="495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54856880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Symptomatic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cholelithiasis</w:t>
            </w:r>
            <w:proofErr w:type="spellEnd"/>
          </w:p>
        </w:tc>
        <w:tc>
          <w:tcPr>
            <w:tcW w:w="4722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1D06E5D9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>13 (30%)</w:t>
            </w:r>
          </w:p>
        </w:tc>
      </w:tr>
      <w:tr w:rsidR="008A08FD" w14:paraId="5D68D9B3" w14:textId="77777777" w:rsidTr="00FA01EB">
        <w:trPr>
          <w:cantSplit/>
          <w:trHeight w:val="241"/>
        </w:trPr>
        <w:tc>
          <w:tcPr>
            <w:tcW w:w="495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6CD812CD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Choledocholithiasis</w:t>
            </w:r>
            <w:proofErr w:type="spellEnd"/>
          </w:p>
        </w:tc>
        <w:tc>
          <w:tcPr>
            <w:tcW w:w="4722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38562F7E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 xml:space="preserve"> 7 (16%)</w:t>
            </w:r>
          </w:p>
        </w:tc>
      </w:tr>
      <w:tr w:rsidR="008A08FD" w14:paraId="1A294AAE" w14:textId="77777777" w:rsidTr="00FA01EB">
        <w:trPr>
          <w:cantSplit/>
          <w:trHeight w:val="241"/>
        </w:trPr>
        <w:tc>
          <w:tcPr>
            <w:tcW w:w="495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1A749B92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Cholecystitis</w:t>
            </w:r>
            <w:proofErr w:type="spellEnd"/>
          </w:p>
        </w:tc>
        <w:tc>
          <w:tcPr>
            <w:tcW w:w="4722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0680E6F7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>12 (27%)</w:t>
            </w:r>
          </w:p>
        </w:tc>
      </w:tr>
      <w:tr w:rsidR="008A08FD" w14:paraId="0E7EDC71" w14:textId="77777777" w:rsidTr="00FA01EB">
        <w:trPr>
          <w:cantSplit/>
          <w:trHeight w:val="441"/>
        </w:trPr>
        <w:tc>
          <w:tcPr>
            <w:tcW w:w="495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3D22AA7C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Lithiasic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pancreatitis</w:t>
            </w:r>
          </w:p>
        </w:tc>
        <w:tc>
          <w:tcPr>
            <w:tcW w:w="4722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75F33681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>12 (27%)</w:t>
            </w:r>
          </w:p>
        </w:tc>
      </w:tr>
      <w:tr w:rsidR="008A08FD" w14:paraId="0895E71E" w14:textId="77777777" w:rsidTr="00FA01EB">
        <w:trPr>
          <w:cantSplit/>
          <w:trHeight w:val="241"/>
        </w:trPr>
        <w:tc>
          <w:tcPr>
            <w:tcW w:w="9672" w:type="dxa"/>
            <w:gridSpan w:val="2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33DB8BFB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right="800"/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Gallbladder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inflammation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A08FD" w14:paraId="27EF6185" w14:textId="77777777" w:rsidTr="00FA01EB">
        <w:trPr>
          <w:cantSplit/>
          <w:trHeight w:val="241"/>
        </w:trPr>
        <w:tc>
          <w:tcPr>
            <w:tcW w:w="495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79D00F96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inflammation</w:t>
            </w:r>
            <w:proofErr w:type="spellEnd"/>
          </w:p>
        </w:tc>
        <w:tc>
          <w:tcPr>
            <w:tcW w:w="4722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3DF2D558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>20 (45%)</w:t>
            </w:r>
          </w:p>
        </w:tc>
      </w:tr>
      <w:tr w:rsidR="008A08FD" w14:paraId="4CF23080" w14:textId="77777777" w:rsidTr="00FA01EB">
        <w:trPr>
          <w:cantSplit/>
          <w:trHeight w:val="241"/>
        </w:trPr>
        <w:tc>
          <w:tcPr>
            <w:tcW w:w="495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257CE8E9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Acute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inflammation</w:t>
            </w:r>
            <w:proofErr w:type="spellEnd"/>
          </w:p>
        </w:tc>
        <w:tc>
          <w:tcPr>
            <w:tcW w:w="4722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43FFF1F6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 xml:space="preserve"> 2  (5%)</w:t>
            </w:r>
          </w:p>
        </w:tc>
      </w:tr>
      <w:tr w:rsidR="008A08FD" w14:paraId="6C7A934F" w14:textId="77777777" w:rsidTr="00FA01EB">
        <w:trPr>
          <w:cantSplit/>
          <w:trHeight w:val="241"/>
        </w:trPr>
        <w:tc>
          <w:tcPr>
            <w:tcW w:w="495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023B78F1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Chronic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inflammation</w:t>
            </w:r>
            <w:proofErr w:type="spellEnd"/>
          </w:p>
        </w:tc>
        <w:tc>
          <w:tcPr>
            <w:tcW w:w="4722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3E9B723E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>22 (50%)</w:t>
            </w:r>
          </w:p>
        </w:tc>
      </w:tr>
      <w:tr w:rsidR="008A08FD" w14:paraId="7725C20C" w14:textId="77777777" w:rsidTr="00FA01EB">
        <w:trPr>
          <w:cantSplit/>
          <w:trHeight w:val="241"/>
        </w:trPr>
        <w:tc>
          <w:tcPr>
            <w:tcW w:w="9672" w:type="dxa"/>
            <w:gridSpan w:val="2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357225ED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right="800"/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Nassar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Grade</w:t>
            </w:r>
          </w:p>
        </w:tc>
      </w:tr>
      <w:tr w:rsidR="008A08FD" w14:paraId="4C25A33A" w14:textId="77777777" w:rsidTr="00FA01EB">
        <w:trPr>
          <w:cantSplit/>
          <w:trHeight w:val="241"/>
        </w:trPr>
        <w:tc>
          <w:tcPr>
            <w:tcW w:w="495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7E92351A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>Grade 1</w:t>
            </w:r>
          </w:p>
        </w:tc>
        <w:tc>
          <w:tcPr>
            <w:tcW w:w="4722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4A0C1244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>20 (45%)</w:t>
            </w:r>
          </w:p>
        </w:tc>
      </w:tr>
      <w:tr w:rsidR="008A08FD" w14:paraId="27F4220F" w14:textId="77777777" w:rsidTr="00FA01EB">
        <w:trPr>
          <w:cantSplit/>
          <w:trHeight w:val="241"/>
        </w:trPr>
        <w:tc>
          <w:tcPr>
            <w:tcW w:w="495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5AF3D0D2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>Grade 2</w:t>
            </w:r>
          </w:p>
        </w:tc>
        <w:tc>
          <w:tcPr>
            <w:tcW w:w="4722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569EDF94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>13 (29%)</w:t>
            </w:r>
          </w:p>
        </w:tc>
      </w:tr>
      <w:tr w:rsidR="008A08FD" w14:paraId="50499818" w14:textId="77777777" w:rsidTr="00FA01EB">
        <w:trPr>
          <w:cantSplit/>
          <w:trHeight w:val="241"/>
        </w:trPr>
        <w:tc>
          <w:tcPr>
            <w:tcW w:w="495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5BCB6580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>Grade 3</w:t>
            </w:r>
          </w:p>
        </w:tc>
        <w:tc>
          <w:tcPr>
            <w:tcW w:w="4722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2501C75A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 xml:space="preserve"> 8 (18%)</w:t>
            </w:r>
          </w:p>
        </w:tc>
      </w:tr>
      <w:tr w:rsidR="008A08FD" w14:paraId="5E2BF1BA" w14:textId="77777777" w:rsidTr="00FA01EB">
        <w:trPr>
          <w:cantSplit/>
          <w:trHeight w:val="241"/>
        </w:trPr>
        <w:tc>
          <w:tcPr>
            <w:tcW w:w="495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325CA6BD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>Grade 4</w:t>
            </w:r>
          </w:p>
        </w:tc>
        <w:tc>
          <w:tcPr>
            <w:tcW w:w="4722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27756838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 xml:space="preserve"> 3 (7%)</w:t>
            </w:r>
          </w:p>
        </w:tc>
      </w:tr>
      <w:tr w:rsidR="008A08FD" w14:paraId="5A398B29" w14:textId="77777777" w:rsidTr="00FA01EB">
        <w:trPr>
          <w:cantSplit/>
          <w:trHeight w:val="241"/>
        </w:trPr>
        <w:tc>
          <w:tcPr>
            <w:tcW w:w="495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56E54E0D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Hepatic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hyperluminescence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effect</w:t>
            </w:r>
            <w:proofErr w:type="spellEnd"/>
          </w:p>
        </w:tc>
        <w:tc>
          <w:tcPr>
            <w:tcW w:w="4722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35F02EA0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 xml:space="preserve"> 0 (0%)</w:t>
            </w:r>
          </w:p>
        </w:tc>
      </w:tr>
      <w:tr w:rsidR="008A08FD" w14:paraId="0C6FE8BF" w14:textId="77777777" w:rsidTr="00FA01EB">
        <w:trPr>
          <w:cantSplit/>
          <w:trHeight w:val="341"/>
        </w:trPr>
        <w:tc>
          <w:tcPr>
            <w:tcW w:w="495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6C9C9855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Style w:val="Ninguno"/>
                <w:rFonts w:ascii="Calibri" w:hAnsi="Calibri"/>
                <w:b/>
                <w:bCs/>
                <w:sz w:val="18"/>
                <w:szCs w:val="18"/>
              </w:rPr>
              <w:t>O</w:t>
            </w:r>
            <w:proofErr w:type="spellStart"/>
            <w:r>
              <w:rPr>
                <w:rStyle w:val="Ninguno"/>
                <w:rFonts w:ascii="Calibri" w:hAnsi="Calibri"/>
                <w:b/>
                <w:bCs/>
                <w:sz w:val="18"/>
                <w:szCs w:val="18"/>
                <w:lang w:val="it-IT"/>
              </w:rPr>
              <w:t>perati</w:t>
            </w:r>
            <w:r>
              <w:rPr>
                <w:rStyle w:val="Ninguno"/>
                <w:rFonts w:ascii="Calibri" w:hAnsi="Calibri"/>
                <w:b/>
                <w:bCs/>
                <w:sz w:val="18"/>
                <w:szCs w:val="18"/>
              </w:rPr>
              <w:t>on</w:t>
            </w:r>
            <w:proofErr w:type="spellEnd"/>
            <w:r>
              <w:rPr>
                <w:rStyle w:val="Ninguno"/>
                <w:rFonts w:ascii="Calibri" w:hAnsi="Calibri"/>
                <w:b/>
                <w:bCs/>
                <w:sz w:val="18"/>
                <w:szCs w:val="18"/>
              </w:rPr>
              <w:t xml:space="preserve"> time (min)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Ninguno"/>
                <w:rFonts w:ascii="Calibri" w:hAnsi="Calibri"/>
                <w:position w:val="10"/>
                <w:sz w:val="18"/>
                <w:szCs w:val="18"/>
              </w:rPr>
              <w:t>b</w:t>
            </w:r>
          </w:p>
        </w:tc>
        <w:tc>
          <w:tcPr>
            <w:tcW w:w="4722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4E8CD90F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 xml:space="preserve">45 ± 15 </w:t>
            </w:r>
          </w:p>
        </w:tc>
      </w:tr>
      <w:tr w:rsidR="008A08FD" w14:paraId="177EAB12" w14:textId="77777777" w:rsidTr="00FA01EB">
        <w:trPr>
          <w:cantSplit/>
          <w:trHeight w:val="241"/>
        </w:trPr>
        <w:tc>
          <w:tcPr>
            <w:tcW w:w="9672" w:type="dxa"/>
            <w:gridSpan w:val="2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3C40A820" w14:textId="4CAF7687" w:rsidR="008A08FD" w:rsidRPr="00003380" w:rsidRDefault="00003380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right="800"/>
              <w:rPr>
                <w:b/>
                <w:sz w:val="18"/>
                <w:szCs w:val="18"/>
              </w:rPr>
            </w:pPr>
            <w:r w:rsidRPr="00003380">
              <w:rPr>
                <w:rFonts w:ascii="Calibri" w:eastAsiaTheme="minorEastAsia" w:hAnsi="Calibri" w:cs="Calibri"/>
                <w:b/>
                <w:sz w:val="18"/>
                <w:szCs w:val="18"/>
                <w:lang w:val="es-ES"/>
              </w:rPr>
              <w:t xml:space="preserve">CLOC  score &gt; 6                                                                               </w:t>
            </w:r>
            <w:r>
              <w:rPr>
                <w:rFonts w:ascii="Calibri" w:eastAsiaTheme="minorEastAsia" w:hAnsi="Calibri" w:cs="Calibri"/>
                <w:b/>
                <w:sz w:val="18"/>
                <w:szCs w:val="18"/>
                <w:lang w:val="es-ES"/>
              </w:rPr>
              <w:t xml:space="preserve">            </w:t>
            </w:r>
            <w:r w:rsidRPr="00003380">
              <w:rPr>
                <w:rFonts w:ascii="Calibri" w:eastAsiaTheme="minorEastAsia" w:hAnsi="Calibri" w:cs="Calibri"/>
                <w:b/>
                <w:sz w:val="18"/>
                <w:szCs w:val="18"/>
                <w:lang w:val="es-ES"/>
              </w:rPr>
              <w:t xml:space="preserve">  </w:t>
            </w:r>
            <w:r w:rsidRPr="00003380">
              <w:rPr>
                <w:rFonts w:ascii="Calibri" w:eastAsiaTheme="minorEastAsia" w:hAnsi="Calibri" w:cs="Calibri"/>
                <w:sz w:val="18"/>
                <w:szCs w:val="18"/>
                <w:lang w:val="es-ES"/>
              </w:rPr>
              <w:t>27 (61,4%)</w:t>
            </w:r>
          </w:p>
        </w:tc>
      </w:tr>
      <w:tr w:rsidR="008A08FD" w14:paraId="66B69082" w14:textId="77777777" w:rsidTr="00FA01EB">
        <w:trPr>
          <w:cantSplit/>
          <w:trHeight w:val="241"/>
        </w:trPr>
        <w:tc>
          <w:tcPr>
            <w:tcW w:w="495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70FFB04A" w14:textId="77777777" w:rsidR="008A08FD" w:rsidRPr="009F6F12" w:rsidRDefault="00003380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Theme="majorHAnsi" w:eastAsiaTheme="minorEastAsia" w:hAnsiTheme="majorHAnsi" w:cs="Calibri"/>
                <w:b/>
                <w:color w:val="000000" w:themeColor="text1"/>
                <w:sz w:val="18"/>
                <w:szCs w:val="18"/>
                <w:lang w:val="es-ES"/>
              </w:rPr>
            </w:pPr>
            <w:r w:rsidRPr="009F6F12">
              <w:rPr>
                <w:rFonts w:asciiTheme="majorHAnsi" w:eastAsiaTheme="minorEastAsia" w:hAnsiTheme="majorHAnsi" w:cs="Calibri"/>
                <w:b/>
                <w:color w:val="000000" w:themeColor="text1"/>
                <w:sz w:val="18"/>
                <w:szCs w:val="18"/>
                <w:lang w:val="es-ES"/>
              </w:rPr>
              <w:t>G10 score ≥ 3</w:t>
            </w:r>
          </w:p>
          <w:p w14:paraId="6220A1C5" w14:textId="77777777" w:rsidR="009F6F12" w:rsidRPr="009F6F12" w:rsidRDefault="009F6F12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Theme="majorHAnsi" w:eastAsiaTheme="minorEastAsia" w:hAnsiTheme="majorHAnsi" w:cs="Calibri"/>
                <w:b/>
                <w:color w:val="000000" w:themeColor="text1"/>
                <w:sz w:val="18"/>
                <w:szCs w:val="18"/>
                <w:lang w:val="es-ES"/>
              </w:rPr>
            </w:pPr>
          </w:p>
          <w:p w14:paraId="7175840A" w14:textId="07B9D511" w:rsidR="009F6F12" w:rsidRPr="009F6F12" w:rsidRDefault="009F6F12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Theme="majorHAnsi" w:eastAsiaTheme="minorEastAsia" w:hAnsiTheme="majorHAnsi" w:cs="Calibri"/>
                <w:b/>
                <w:color w:val="000000" w:themeColor="text1"/>
                <w:sz w:val="18"/>
                <w:szCs w:val="18"/>
                <w:lang w:val="es-ES"/>
              </w:rPr>
            </w:pPr>
            <w:r w:rsidRPr="009F6F12">
              <w:rPr>
                <w:rFonts w:asciiTheme="majorHAnsi" w:eastAsiaTheme="minorEastAsia" w:hAnsiTheme="majorHAnsi" w:cs="Calibri"/>
                <w:b/>
                <w:color w:val="000000" w:themeColor="text1"/>
                <w:sz w:val="18"/>
                <w:szCs w:val="18"/>
                <w:lang w:val="es-ES"/>
              </w:rPr>
              <w:t>G10 score ≥ 5</w:t>
            </w:r>
          </w:p>
        </w:tc>
        <w:tc>
          <w:tcPr>
            <w:tcW w:w="4722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5B3A91FE" w14:textId="77777777" w:rsidR="008A08FD" w:rsidRPr="009F6F12" w:rsidRDefault="00003380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Theme="majorHAnsi" w:hAnsiTheme="majorHAnsi"/>
                <w:sz w:val="18"/>
                <w:szCs w:val="18"/>
              </w:rPr>
            </w:pPr>
            <w:r w:rsidRPr="009F6F12">
              <w:rPr>
                <w:rFonts w:asciiTheme="majorHAnsi" w:hAnsiTheme="majorHAnsi"/>
                <w:sz w:val="18"/>
                <w:szCs w:val="18"/>
              </w:rPr>
              <w:t>19 (43,2%)</w:t>
            </w:r>
          </w:p>
          <w:p w14:paraId="7F2F96D5" w14:textId="77777777" w:rsidR="009F6F12" w:rsidRPr="009F6F12" w:rsidRDefault="009F6F12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Theme="majorHAnsi" w:hAnsiTheme="majorHAnsi"/>
                <w:sz w:val="18"/>
                <w:szCs w:val="18"/>
              </w:rPr>
            </w:pPr>
          </w:p>
          <w:p w14:paraId="44575DCE" w14:textId="0D65CB65" w:rsidR="009F6F12" w:rsidRPr="009F6F12" w:rsidRDefault="009F6F12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Theme="majorHAnsi" w:hAnsiTheme="majorHAnsi"/>
                <w:sz w:val="18"/>
                <w:szCs w:val="18"/>
              </w:rPr>
            </w:pPr>
            <w:r w:rsidRPr="009F6F12">
              <w:rPr>
                <w:rFonts w:asciiTheme="majorHAnsi" w:hAnsiTheme="majorHAnsi"/>
                <w:sz w:val="18"/>
                <w:szCs w:val="18"/>
              </w:rPr>
              <w:t>8 (18,2%)</w:t>
            </w:r>
          </w:p>
        </w:tc>
      </w:tr>
      <w:tr w:rsidR="008A08FD" w14:paraId="77A9F420" w14:textId="77777777" w:rsidTr="00FA01EB">
        <w:trPr>
          <w:cantSplit/>
          <w:trHeight w:val="390"/>
        </w:trPr>
        <w:tc>
          <w:tcPr>
            <w:tcW w:w="495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04D2C1EB" w14:textId="438C5A67" w:rsidR="008A08FD" w:rsidRPr="00003380" w:rsidRDefault="00003380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b/>
                <w:sz w:val="18"/>
                <w:szCs w:val="18"/>
              </w:rPr>
            </w:pPr>
            <w:r w:rsidRPr="00003380">
              <w:rPr>
                <w:rFonts w:ascii="Calibri" w:eastAsiaTheme="minorEastAsia" w:hAnsi="Calibri" w:cs="Calibri"/>
                <w:b/>
                <w:sz w:val="18"/>
                <w:szCs w:val="18"/>
                <w:lang w:val="es-ES"/>
              </w:rPr>
              <w:t>CAAD score &gt; 5</w:t>
            </w:r>
          </w:p>
        </w:tc>
        <w:tc>
          <w:tcPr>
            <w:tcW w:w="4722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2465FD0F" w14:textId="00CCD261" w:rsidR="008A08FD" w:rsidRPr="00003380" w:rsidRDefault="00003380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sz w:val="18"/>
                <w:szCs w:val="18"/>
              </w:rPr>
            </w:pPr>
            <w:r w:rsidRPr="00003380">
              <w:rPr>
                <w:rFonts w:ascii="Calibri" w:hAnsi="Calibri"/>
                <w:sz w:val="18"/>
                <w:szCs w:val="18"/>
              </w:rPr>
              <w:t>28 (63,6%)</w:t>
            </w:r>
          </w:p>
        </w:tc>
      </w:tr>
      <w:tr w:rsidR="00FA01EB" w14:paraId="3E5BF469" w14:textId="77777777" w:rsidTr="00FA01EB">
        <w:trPr>
          <w:cantSplit/>
          <w:trHeight w:val="390"/>
        </w:trPr>
        <w:tc>
          <w:tcPr>
            <w:tcW w:w="495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4A618C3D" w14:textId="77777777" w:rsidR="00FA01EB" w:rsidRDefault="00FA01EB" w:rsidP="00FA01EB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="Calibri" w:eastAsiaTheme="minorEastAsia" w:hAnsi="Calibri" w:cs="Calibri"/>
                <w:b/>
                <w:bCs/>
                <w:sz w:val="18"/>
                <w:szCs w:val="18"/>
                <w:lang w:val="en-US"/>
              </w:rPr>
            </w:pPr>
            <w:r w:rsidRPr="00FA01EB">
              <w:rPr>
                <w:rFonts w:ascii="Calibri" w:eastAsiaTheme="minorEastAsia" w:hAnsi="Calibri" w:cs="Calibri"/>
                <w:b/>
                <w:bCs/>
                <w:sz w:val="18"/>
                <w:szCs w:val="18"/>
                <w:lang w:val="en-US"/>
              </w:rPr>
              <w:t xml:space="preserve">Surgical Time Score </w:t>
            </w:r>
          </w:p>
          <w:p w14:paraId="3F4C59EF" w14:textId="4F205744" w:rsidR="00FA01EB" w:rsidRPr="00FA01EB" w:rsidRDefault="00FA01EB" w:rsidP="00FA01EB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="Calibri" w:eastAsiaTheme="minorEastAsia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eastAsiaTheme="minorEastAsia" w:hAnsi="Calibri" w:cs="Calibri"/>
                <w:b/>
                <w:bCs/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rFonts w:ascii="Calibri" w:eastAsiaTheme="minorEastAsia" w:hAnsi="Calibri" w:cs="Calibri"/>
                <w:b/>
                <w:bCs/>
                <w:sz w:val="18"/>
                <w:szCs w:val="18"/>
                <w:lang w:val="en-US"/>
              </w:rPr>
              <w:t>CholeS</w:t>
            </w:r>
            <w:proofErr w:type="spellEnd"/>
            <w:r>
              <w:rPr>
                <w:rFonts w:ascii="Calibri" w:eastAsiaTheme="minorEastAsia" w:hAnsi="Calibri" w:cs="Calibri"/>
                <w:b/>
                <w:bCs/>
                <w:sz w:val="18"/>
                <w:szCs w:val="18"/>
                <w:lang w:val="en-US"/>
              </w:rPr>
              <w:t xml:space="preserve"> Study Group)</w:t>
            </w:r>
          </w:p>
          <w:p w14:paraId="6F22F1B9" w14:textId="77777777" w:rsidR="00FA01EB" w:rsidRPr="00FA01EB" w:rsidRDefault="00FA01EB" w:rsidP="00FA01EB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="Calibri" w:eastAsiaTheme="minorEastAsia" w:hAnsi="Calibri" w:cs="Calibri"/>
                <w:b/>
                <w:bCs/>
                <w:sz w:val="18"/>
                <w:szCs w:val="18"/>
                <w:lang w:val="en-US"/>
              </w:rPr>
            </w:pPr>
          </w:p>
          <w:p w14:paraId="2AA0467C" w14:textId="7F2C359E" w:rsidR="00FA01EB" w:rsidRPr="00FA01EB" w:rsidRDefault="00FA01EB" w:rsidP="00FA01EB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="Calibri" w:eastAsiaTheme="minorEastAsia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eastAsiaTheme="minorEastAsia" w:hAnsi="Calibri" w:cs="Calibri"/>
                <w:b/>
                <w:bCs/>
                <w:sz w:val="18"/>
                <w:szCs w:val="18"/>
                <w:lang w:val="en-US"/>
              </w:rPr>
              <w:t>Low score</w:t>
            </w:r>
          </w:p>
          <w:p w14:paraId="61BCDBAF" w14:textId="77777777" w:rsidR="00FA01EB" w:rsidRPr="00FA01EB" w:rsidRDefault="00FA01EB" w:rsidP="00FA01EB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="Calibri" w:eastAsiaTheme="minorEastAsia" w:hAnsi="Calibri" w:cs="Calibri"/>
                <w:b/>
                <w:bCs/>
                <w:sz w:val="18"/>
                <w:szCs w:val="18"/>
                <w:lang w:val="en-US"/>
              </w:rPr>
            </w:pPr>
          </w:p>
          <w:p w14:paraId="2544C435" w14:textId="77777777" w:rsidR="00FA01EB" w:rsidRPr="00FA01EB" w:rsidRDefault="00FA01EB" w:rsidP="00FA01EB">
            <w:pPr>
              <w:pStyle w:val="Estilodetabla2"/>
              <w:ind w:right="800"/>
              <w:rPr>
                <w:rFonts w:ascii="Calibri" w:eastAsiaTheme="minorEastAsia" w:hAnsi="Calibri" w:cs="Calibri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FA01EB">
              <w:rPr>
                <w:rFonts w:ascii="Calibri" w:eastAsiaTheme="minorEastAsia" w:hAnsi="Calibri" w:cs="Calibri"/>
                <w:b/>
                <w:bCs/>
                <w:sz w:val="18"/>
                <w:szCs w:val="18"/>
                <w:lang w:val="es-ES"/>
              </w:rPr>
              <w:t>Intermediate</w:t>
            </w:r>
            <w:proofErr w:type="spellEnd"/>
          </w:p>
          <w:p w14:paraId="658C8261" w14:textId="260803CB" w:rsidR="00FA01EB" w:rsidRPr="00FA01EB" w:rsidRDefault="00FA01EB" w:rsidP="00FA01EB">
            <w:pPr>
              <w:pStyle w:val="Estilodetabla2"/>
              <w:ind w:right="800"/>
              <w:rPr>
                <w:rFonts w:ascii="Calibri" w:eastAsiaTheme="minorEastAsia" w:hAnsi="Calibri" w:cs="Calibri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alibri" w:eastAsiaTheme="minorEastAsia" w:hAnsi="Calibri" w:cs="Calibri"/>
                <w:b/>
                <w:bCs/>
                <w:sz w:val="18"/>
                <w:szCs w:val="18"/>
                <w:lang w:val="es-ES"/>
              </w:rPr>
              <w:t>score</w:t>
            </w:r>
          </w:p>
          <w:p w14:paraId="49C2E0CA" w14:textId="77777777" w:rsidR="00FA01EB" w:rsidRPr="00FA01EB" w:rsidRDefault="00FA01EB" w:rsidP="00FA01EB">
            <w:pPr>
              <w:pStyle w:val="Estilodetabla2"/>
              <w:ind w:right="800"/>
              <w:rPr>
                <w:rFonts w:ascii="Calibri" w:eastAsiaTheme="minorEastAsia" w:hAnsi="Calibri" w:cs="Calibri"/>
                <w:b/>
                <w:bCs/>
                <w:sz w:val="18"/>
                <w:szCs w:val="18"/>
                <w:lang w:val="es-ES"/>
              </w:rPr>
            </w:pPr>
          </w:p>
          <w:p w14:paraId="49F8E509" w14:textId="4A383255" w:rsidR="00FA01EB" w:rsidRPr="00003380" w:rsidRDefault="00FA01EB" w:rsidP="00FA01EB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="Calibri" w:eastAsiaTheme="minorEastAsia" w:hAnsi="Calibri" w:cs="Calibri"/>
                <w:b/>
                <w:sz w:val="18"/>
                <w:szCs w:val="18"/>
                <w:lang w:val="es-ES"/>
              </w:rPr>
            </w:pPr>
            <w:r>
              <w:rPr>
                <w:rFonts w:ascii="Calibri" w:eastAsiaTheme="minorEastAsia" w:hAnsi="Calibri" w:cs="Calibri"/>
                <w:b/>
                <w:bCs/>
                <w:sz w:val="18"/>
                <w:szCs w:val="18"/>
                <w:lang w:val="es-ES"/>
              </w:rPr>
              <w:t>High score</w:t>
            </w:r>
          </w:p>
        </w:tc>
        <w:tc>
          <w:tcPr>
            <w:tcW w:w="4722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2FA83B08" w14:textId="77777777" w:rsidR="00FA01EB" w:rsidRDefault="00FA01EB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="Calibri" w:hAnsi="Calibri"/>
                <w:sz w:val="18"/>
                <w:szCs w:val="18"/>
              </w:rPr>
            </w:pPr>
          </w:p>
          <w:p w14:paraId="63ED6604" w14:textId="77777777" w:rsidR="00FA01EB" w:rsidRDefault="00FA01EB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="Calibri" w:hAnsi="Calibri"/>
                <w:sz w:val="18"/>
                <w:szCs w:val="18"/>
              </w:rPr>
            </w:pPr>
          </w:p>
          <w:p w14:paraId="72EEB6A0" w14:textId="77777777" w:rsidR="00FA01EB" w:rsidRDefault="00FA01EB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="Calibri" w:hAnsi="Calibri"/>
                <w:sz w:val="18"/>
                <w:szCs w:val="18"/>
              </w:rPr>
            </w:pPr>
          </w:p>
          <w:p w14:paraId="33F96E53" w14:textId="4AE0FE40" w:rsidR="00FA01EB" w:rsidRPr="00FA01EB" w:rsidRDefault="00FA01EB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="Calibri" w:eastAsiaTheme="minorEastAsia" w:hAnsi="Calibri" w:cs="Calibri"/>
                <w:bCs/>
                <w:sz w:val="18"/>
                <w:szCs w:val="18"/>
                <w:lang w:val="en-US"/>
              </w:rPr>
            </w:pPr>
            <w:r w:rsidRPr="00FA01EB">
              <w:rPr>
                <w:rFonts w:ascii="Calibri" w:eastAsiaTheme="minorEastAsia" w:hAnsi="Calibri" w:cs="Calibri"/>
                <w:bCs/>
                <w:sz w:val="18"/>
                <w:szCs w:val="18"/>
                <w:lang w:val="en-US"/>
              </w:rPr>
              <w:t>9 (20.4%)</w:t>
            </w:r>
            <w:bookmarkStart w:id="0" w:name="_GoBack"/>
            <w:bookmarkEnd w:id="0"/>
          </w:p>
          <w:p w14:paraId="609F1659" w14:textId="77777777" w:rsidR="00FA01EB" w:rsidRPr="00FA01EB" w:rsidRDefault="00FA01EB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="Calibri" w:eastAsiaTheme="minorEastAsia" w:hAnsi="Calibri" w:cs="Calibri"/>
                <w:bCs/>
                <w:sz w:val="18"/>
                <w:szCs w:val="18"/>
                <w:lang w:val="en-US"/>
              </w:rPr>
            </w:pPr>
          </w:p>
          <w:p w14:paraId="27AC245B" w14:textId="77777777" w:rsidR="00FA01EB" w:rsidRPr="00FA01EB" w:rsidRDefault="00FA01EB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="Calibri" w:eastAsiaTheme="minorEastAsia" w:hAnsi="Calibri" w:cs="Calibri"/>
                <w:bCs/>
                <w:sz w:val="18"/>
                <w:szCs w:val="18"/>
                <w:lang w:val="es-ES"/>
              </w:rPr>
            </w:pPr>
            <w:r w:rsidRPr="00FA01EB">
              <w:rPr>
                <w:rFonts w:ascii="Calibri" w:eastAsiaTheme="minorEastAsia" w:hAnsi="Calibri" w:cs="Calibri"/>
                <w:bCs/>
                <w:sz w:val="18"/>
                <w:szCs w:val="18"/>
                <w:lang w:val="es-ES"/>
              </w:rPr>
              <w:t>32 (72.7%)</w:t>
            </w:r>
          </w:p>
          <w:p w14:paraId="1C863D45" w14:textId="77777777" w:rsidR="00FA01EB" w:rsidRPr="00FA01EB" w:rsidRDefault="00FA01EB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="Calibri" w:eastAsiaTheme="minorEastAsia" w:hAnsi="Calibri" w:cs="Calibri"/>
                <w:bCs/>
                <w:sz w:val="18"/>
                <w:szCs w:val="18"/>
                <w:lang w:val="es-ES"/>
              </w:rPr>
            </w:pPr>
          </w:p>
          <w:p w14:paraId="64E92E38" w14:textId="77777777" w:rsidR="00FA01EB" w:rsidRPr="00FA01EB" w:rsidRDefault="00FA01EB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="Calibri" w:eastAsiaTheme="minorEastAsia" w:hAnsi="Calibri" w:cs="Calibri"/>
                <w:bCs/>
                <w:sz w:val="18"/>
                <w:szCs w:val="18"/>
                <w:lang w:val="es-ES"/>
              </w:rPr>
            </w:pPr>
          </w:p>
          <w:p w14:paraId="6C7778A3" w14:textId="7A713F0B" w:rsidR="00FA01EB" w:rsidRPr="00003380" w:rsidRDefault="00FA01EB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="Calibri" w:hAnsi="Calibri"/>
                <w:sz w:val="18"/>
                <w:szCs w:val="18"/>
              </w:rPr>
            </w:pPr>
            <w:r w:rsidRPr="00FA01EB">
              <w:rPr>
                <w:rFonts w:ascii="Calibri" w:eastAsiaTheme="minorEastAsia" w:hAnsi="Calibri" w:cs="Calibri"/>
                <w:bCs/>
                <w:sz w:val="18"/>
                <w:szCs w:val="18"/>
                <w:lang w:val="es-ES"/>
              </w:rPr>
              <w:t>3 (6.8%)</w:t>
            </w:r>
          </w:p>
        </w:tc>
      </w:tr>
      <w:tr w:rsidR="00FA01EB" w14:paraId="5394394D" w14:textId="77777777" w:rsidTr="00FA01EB">
        <w:trPr>
          <w:cantSplit/>
          <w:trHeight w:val="390"/>
        </w:trPr>
        <w:tc>
          <w:tcPr>
            <w:tcW w:w="495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05035941" w14:textId="5F734AE5" w:rsidR="00FA01EB" w:rsidRPr="00FA01EB" w:rsidRDefault="00FA01EB" w:rsidP="00FA01EB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="Calibri" w:eastAsiaTheme="minorEastAsia" w:hAnsi="Calibri" w:cs="Calibri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Theme="minorEastAsia" w:hAnsi="Calibri" w:cs="Calibri"/>
                <w:b/>
                <w:bCs/>
                <w:sz w:val="18"/>
                <w:szCs w:val="18"/>
                <w:lang w:val="en-US"/>
              </w:rPr>
              <w:t>Nassar</w:t>
            </w:r>
            <w:proofErr w:type="spellEnd"/>
            <w:r>
              <w:rPr>
                <w:rFonts w:ascii="Calibri" w:eastAsiaTheme="minorEastAsia" w:hAnsi="Calibri" w:cs="Calibri"/>
                <w:b/>
                <w:bCs/>
                <w:sz w:val="18"/>
                <w:szCs w:val="18"/>
                <w:lang w:val="en-US"/>
              </w:rPr>
              <w:t xml:space="preserve"> Score 2019</w:t>
            </w:r>
          </w:p>
          <w:p w14:paraId="6C83CB42" w14:textId="77777777" w:rsidR="00FA01EB" w:rsidRPr="00FA01EB" w:rsidRDefault="00FA01EB" w:rsidP="00FA01EB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="Calibri" w:eastAsiaTheme="minorEastAsia" w:hAnsi="Calibri" w:cs="Calibri"/>
                <w:b/>
                <w:bCs/>
                <w:sz w:val="18"/>
                <w:szCs w:val="18"/>
                <w:lang w:val="en-US"/>
              </w:rPr>
            </w:pPr>
          </w:p>
          <w:p w14:paraId="1719891B" w14:textId="6F41E3B2" w:rsidR="00FA01EB" w:rsidRPr="00FA01EB" w:rsidRDefault="00FA01EB" w:rsidP="00FA01EB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="Calibri" w:eastAsiaTheme="minorEastAsia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eastAsiaTheme="minorEastAsia" w:hAnsi="Calibri" w:cs="Calibri"/>
                <w:b/>
                <w:bCs/>
                <w:sz w:val="18"/>
                <w:szCs w:val="18"/>
                <w:lang w:val="en-US"/>
              </w:rPr>
              <w:t>Low score</w:t>
            </w:r>
          </w:p>
          <w:p w14:paraId="49AD9A76" w14:textId="77777777" w:rsidR="00FA01EB" w:rsidRPr="00FA01EB" w:rsidRDefault="00FA01EB" w:rsidP="00FA01EB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="Calibri" w:eastAsiaTheme="minorEastAsia" w:hAnsi="Calibri" w:cs="Calibri"/>
                <w:b/>
                <w:bCs/>
                <w:sz w:val="18"/>
                <w:szCs w:val="18"/>
                <w:lang w:val="en-US"/>
              </w:rPr>
            </w:pPr>
          </w:p>
          <w:p w14:paraId="240B8FEA" w14:textId="77777777" w:rsidR="00FA01EB" w:rsidRPr="00FA01EB" w:rsidRDefault="00FA01EB" w:rsidP="00FA01EB">
            <w:pPr>
              <w:pStyle w:val="Estilodetabla2"/>
              <w:ind w:right="800"/>
              <w:rPr>
                <w:rFonts w:ascii="Calibri" w:eastAsiaTheme="minorEastAsia" w:hAnsi="Calibri" w:cs="Calibri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FA01EB">
              <w:rPr>
                <w:rFonts w:ascii="Calibri" w:eastAsiaTheme="minorEastAsia" w:hAnsi="Calibri" w:cs="Calibri"/>
                <w:b/>
                <w:bCs/>
                <w:sz w:val="18"/>
                <w:szCs w:val="18"/>
                <w:lang w:val="es-ES"/>
              </w:rPr>
              <w:t>Intermediate</w:t>
            </w:r>
            <w:proofErr w:type="spellEnd"/>
          </w:p>
          <w:p w14:paraId="6A9CBED3" w14:textId="77CC0AB1" w:rsidR="00FA01EB" w:rsidRPr="00FA01EB" w:rsidRDefault="00FA01EB" w:rsidP="00FA01EB">
            <w:pPr>
              <w:pStyle w:val="Estilodetabla2"/>
              <w:ind w:right="800"/>
              <w:rPr>
                <w:rFonts w:ascii="Calibri" w:eastAsiaTheme="minorEastAsia" w:hAnsi="Calibri" w:cs="Calibri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alibri" w:eastAsiaTheme="minorEastAsia" w:hAnsi="Calibri" w:cs="Calibri"/>
                <w:b/>
                <w:bCs/>
                <w:sz w:val="18"/>
                <w:szCs w:val="18"/>
                <w:lang w:val="es-ES"/>
              </w:rPr>
              <w:t>score</w:t>
            </w:r>
          </w:p>
          <w:p w14:paraId="1A51950C" w14:textId="77777777" w:rsidR="00FA01EB" w:rsidRPr="00FA01EB" w:rsidRDefault="00FA01EB" w:rsidP="00FA01EB">
            <w:pPr>
              <w:pStyle w:val="Estilodetabla2"/>
              <w:ind w:right="800"/>
              <w:rPr>
                <w:rFonts w:ascii="Calibri" w:eastAsiaTheme="minorEastAsia" w:hAnsi="Calibri" w:cs="Calibri"/>
                <w:b/>
                <w:bCs/>
                <w:sz w:val="18"/>
                <w:szCs w:val="18"/>
                <w:lang w:val="es-ES"/>
              </w:rPr>
            </w:pPr>
          </w:p>
          <w:p w14:paraId="00BAD0AB" w14:textId="0957AC5C" w:rsidR="00FA01EB" w:rsidRPr="00003380" w:rsidRDefault="00FA01EB" w:rsidP="00FA01EB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="Calibri" w:eastAsiaTheme="minorEastAsia" w:hAnsi="Calibri" w:cs="Calibri"/>
                <w:b/>
                <w:sz w:val="18"/>
                <w:szCs w:val="18"/>
                <w:lang w:val="es-ES"/>
              </w:rPr>
            </w:pPr>
            <w:r>
              <w:rPr>
                <w:rFonts w:ascii="Calibri" w:eastAsiaTheme="minorEastAsia" w:hAnsi="Calibri" w:cs="Calibri"/>
                <w:b/>
                <w:bCs/>
                <w:sz w:val="18"/>
                <w:szCs w:val="18"/>
                <w:lang w:val="es-ES"/>
              </w:rPr>
              <w:t>High score</w:t>
            </w:r>
          </w:p>
        </w:tc>
        <w:tc>
          <w:tcPr>
            <w:tcW w:w="4722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5F941FAB" w14:textId="77777777" w:rsidR="00FA01EB" w:rsidRDefault="00FA01EB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="Calibri" w:hAnsi="Calibri"/>
                <w:sz w:val="18"/>
                <w:szCs w:val="18"/>
              </w:rPr>
            </w:pPr>
          </w:p>
          <w:p w14:paraId="3081E39A" w14:textId="77777777" w:rsidR="00FA01EB" w:rsidRPr="00FA01EB" w:rsidRDefault="00FA01EB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="Calibri" w:hAnsi="Calibri"/>
                <w:sz w:val="18"/>
                <w:szCs w:val="18"/>
              </w:rPr>
            </w:pPr>
          </w:p>
          <w:p w14:paraId="79223616" w14:textId="02055D4C" w:rsidR="00FA01EB" w:rsidRPr="00FA01EB" w:rsidRDefault="00FA01EB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="Calibri" w:eastAsiaTheme="minorEastAsia" w:hAnsi="Calibri" w:cs="Calibri"/>
                <w:bCs/>
                <w:sz w:val="18"/>
                <w:szCs w:val="18"/>
                <w:lang w:val="en-US"/>
              </w:rPr>
            </w:pPr>
            <w:r w:rsidRPr="00FA01EB">
              <w:rPr>
                <w:rFonts w:ascii="Calibri" w:eastAsiaTheme="minorEastAsia" w:hAnsi="Calibri" w:cs="Calibri"/>
                <w:bCs/>
                <w:sz w:val="18"/>
                <w:szCs w:val="18"/>
                <w:lang w:val="en-US"/>
              </w:rPr>
              <w:t>11 (25%)</w:t>
            </w:r>
          </w:p>
          <w:p w14:paraId="1BEDC636" w14:textId="77777777" w:rsidR="00FA01EB" w:rsidRPr="00FA01EB" w:rsidRDefault="00FA01EB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="Calibri" w:eastAsiaTheme="minorEastAsia" w:hAnsi="Calibri" w:cs="Calibri"/>
                <w:bCs/>
                <w:sz w:val="18"/>
                <w:szCs w:val="18"/>
                <w:lang w:val="en-US"/>
              </w:rPr>
            </w:pPr>
          </w:p>
          <w:p w14:paraId="037C0BB5" w14:textId="77777777" w:rsidR="00FA01EB" w:rsidRPr="00FA01EB" w:rsidRDefault="00FA01EB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="Calibri" w:eastAsiaTheme="minorEastAsia" w:hAnsi="Calibri" w:cs="Calibri"/>
                <w:bCs/>
                <w:sz w:val="18"/>
                <w:szCs w:val="18"/>
                <w:lang w:val="es-ES"/>
              </w:rPr>
            </w:pPr>
            <w:r w:rsidRPr="00FA01EB">
              <w:rPr>
                <w:rFonts w:ascii="Calibri" w:eastAsiaTheme="minorEastAsia" w:hAnsi="Calibri" w:cs="Calibri"/>
                <w:bCs/>
                <w:sz w:val="18"/>
                <w:szCs w:val="18"/>
                <w:lang w:val="es-ES"/>
              </w:rPr>
              <w:t>13 (29.5%)</w:t>
            </w:r>
          </w:p>
          <w:p w14:paraId="6B716AFC" w14:textId="77777777" w:rsidR="00FA01EB" w:rsidRDefault="00FA01EB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="Calibri" w:eastAsiaTheme="minorEastAsia" w:hAnsi="Calibri" w:cs="Calibri"/>
                <w:bCs/>
                <w:sz w:val="18"/>
                <w:szCs w:val="18"/>
                <w:lang w:val="es-ES"/>
              </w:rPr>
            </w:pPr>
          </w:p>
          <w:p w14:paraId="22D8D1A0" w14:textId="77777777" w:rsidR="00FA01EB" w:rsidRPr="00FA01EB" w:rsidRDefault="00FA01EB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="Calibri" w:eastAsiaTheme="minorEastAsia" w:hAnsi="Calibri" w:cs="Calibri"/>
                <w:bCs/>
                <w:sz w:val="18"/>
                <w:szCs w:val="18"/>
                <w:lang w:val="es-ES"/>
              </w:rPr>
            </w:pPr>
          </w:p>
          <w:p w14:paraId="19E3CF4B" w14:textId="69909A04" w:rsidR="00FA01EB" w:rsidRPr="00003380" w:rsidRDefault="00FA01EB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="Calibri" w:hAnsi="Calibri"/>
                <w:sz w:val="18"/>
                <w:szCs w:val="18"/>
              </w:rPr>
            </w:pPr>
            <w:r w:rsidRPr="00FA01EB">
              <w:rPr>
                <w:rFonts w:ascii="Calibri" w:eastAsiaTheme="minorEastAsia" w:hAnsi="Calibri" w:cs="Calibri"/>
                <w:bCs/>
                <w:sz w:val="18"/>
                <w:szCs w:val="18"/>
                <w:lang w:val="es-ES"/>
              </w:rPr>
              <w:t>20 (45.5%)</w:t>
            </w:r>
          </w:p>
        </w:tc>
      </w:tr>
      <w:tr w:rsidR="008A08FD" w14:paraId="682953FF" w14:textId="77777777" w:rsidTr="00FA01EB">
        <w:trPr>
          <w:cantSplit/>
          <w:trHeight w:val="241"/>
        </w:trPr>
        <w:tc>
          <w:tcPr>
            <w:tcW w:w="495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3AF188B2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Perioperative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complications</w:t>
            </w:r>
            <w:proofErr w:type="spellEnd"/>
          </w:p>
        </w:tc>
        <w:tc>
          <w:tcPr>
            <w:tcW w:w="4722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5F15F372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>0 (0%)</w:t>
            </w:r>
          </w:p>
        </w:tc>
      </w:tr>
      <w:tr w:rsidR="008A08FD" w14:paraId="7249735D" w14:textId="77777777" w:rsidTr="00FA01EB">
        <w:trPr>
          <w:cantSplit/>
          <w:trHeight w:val="341"/>
        </w:trPr>
        <w:tc>
          <w:tcPr>
            <w:tcW w:w="495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148859F2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Mean hospital stay (hours)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Style w:val="Ninguno"/>
                <w:rFonts w:ascii="Calibri" w:hAnsi="Calibri"/>
                <w:b/>
                <w:bCs/>
                <w:position w:val="10"/>
                <w:sz w:val="18"/>
                <w:szCs w:val="18"/>
              </w:rPr>
              <w:t>b</w:t>
            </w:r>
          </w:p>
        </w:tc>
        <w:tc>
          <w:tcPr>
            <w:tcW w:w="4722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4DEF5980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 xml:space="preserve">28 ± 4 </w:t>
            </w:r>
          </w:p>
        </w:tc>
      </w:tr>
      <w:tr w:rsidR="008A08FD" w14:paraId="2EE121EA" w14:textId="77777777" w:rsidTr="00FA01EB">
        <w:trPr>
          <w:cantSplit/>
          <w:trHeight w:val="16"/>
        </w:trPr>
        <w:tc>
          <w:tcPr>
            <w:tcW w:w="495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06DBBE42" w14:textId="36CF48A4" w:rsidR="00FA01EB" w:rsidRPr="00FA01EB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Readmissions</w:t>
            </w:r>
            <w:proofErr w:type="spellEnd"/>
          </w:p>
        </w:tc>
        <w:tc>
          <w:tcPr>
            <w:tcW w:w="4722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144" w:type="dxa"/>
              <w:left w:w="72" w:type="dxa"/>
              <w:bottom w:w="72" w:type="dxa"/>
              <w:right w:w="944" w:type="dxa"/>
            </w:tcMar>
          </w:tcPr>
          <w:p w14:paraId="371EAD0A" w14:textId="77777777" w:rsidR="008A08FD" w:rsidRDefault="008A08FD" w:rsidP="00D66A47">
            <w:pPr>
              <w:pStyle w:val="Estilodetab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800"/>
            </w:pPr>
            <w:r>
              <w:rPr>
                <w:rFonts w:ascii="Calibri" w:hAnsi="Calibri"/>
                <w:sz w:val="18"/>
                <w:szCs w:val="18"/>
              </w:rPr>
              <w:t>0 (0%)</w:t>
            </w:r>
          </w:p>
        </w:tc>
      </w:tr>
    </w:tbl>
    <w:p w14:paraId="0DDEDA37" w14:textId="77777777" w:rsidR="00BA79EA" w:rsidRDefault="00BA79EA" w:rsidP="00BA79EA">
      <w:pPr>
        <w:pStyle w:val="Poromisin"/>
        <w:spacing w:before="0" w:line="480" w:lineRule="auto"/>
        <w:jc w:val="both"/>
        <w:rPr>
          <w:rFonts w:ascii="Calibri" w:eastAsia="Calibri" w:hAnsi="Calibri" w:cs="Calibri"/>
          <w:i/>
          <w:iCs/>
          <w:sz w:val="14"/>
          <w:szCs w:val="14"/>
        </w:rPr>
      </w:pPr>
      <w:proofErr w:type="spellStart"/>
      <w:r>
        <w:rPr>
          <w:rFonts w:ascii="Calibri" w:hAnsi="Calibri"/>
          <w:i/>
          <w:iCs/>
          <w:sz w:val="14"/>
          <w:szCs w:val="14"/>
        </w:rPr>
        <w:t>Categorical</w:t>
      </w:r>
      <w:proofErr w:type="spellEnd"/>
      <w:r>
        <w:rPr>
          <w:rFonts w:ascii="Calibri" w:hAnsi="Calibri"/>
          <w:i/>
          <w:iCs/>
          <w:sz w:val="14"/>
          <w:szCs w:val="14"/>
        </w:rPr>
        <w:t xml:space="preserve"> </w:t>
      </w:r>
      <w:proofErr w:type="spellStart"/>
      <w:r>
        <w:rPr>
          <w:rFonts w:ascii="Calibri" w:hAnsi="Calibri"/>
          <w:i/>
          <w:iCs/>
          <w:sz w:val="14"/>
          <w:szCs w:val="14"/>
        </w:rPr>
        <w:t>values</w:t>
      </w:r>
      <w:proofErr w:type="spellEnd"/>
      <w:r>
        <w:rPr>
          <w:rFonts w:ascii="Calibri" w:hAnsi="Calibri"/>
          <w:i/>
          <w:iCs/>
          <w:sz w:val="14"/>
          <w:szCs w:val="14"/>
        </w:rPr>
        <w:t xml:space="preserve"> </w:t>
      </w:r>
      <w:r>
        <w:rPr>
          <w:rFonts w:ascii="Calibri" w:hAnsi="Calibri"/>
          <w:i/>
          <w:iCs/>
          <w:sz w:val="14"/>
          <w:szCs w:val="14"/>
          <w:lang w:val="en-US"/>
        </w:rPr>
        <w:t xml:space="preserve">are presented </w:t>
      </w:r>
      <w:r>
        <w:rPr>
          <w:rFonts w:ascii="Calibri" w:hAnsi="Calibri"/>
          <w:i/>
          <w:iCs/>
          <w:sz w:val="14"/>
          <w:szCs w:val="14"/>
        </w:rPr>
        <w:t xml:space="preserve">as </w:t>
      </w:r>
      <w:proofErr w:type="spellStart"/>
      <w:r>
        <w:rPr>
          <w:rFonts w:ascii="Calibri" w:hAnsi="Calibri"/>
          <w:i/>
          <w:iCs/>
          <w:sz w:val="14"/>
          <w:szCs w:val="14"/>
        </w:rPr>
        <w:t>percentages</w:t>
      </w:r>
      <w:proofErr w:type="spellEnd"/>
      <w:r>
        <w:rPr>
          <w:rFonts w:ascii="Calibri" w:hAnsi="Calibri"/>
          <w:i/>
          <w:iCs/>
          <w:sz w:val="14"/>
          <w:szCs w:val="14"/>
        </w:rPr>
        <w:t xml:space="preserve">. </w:t>
      </w:r>
      <w:r>
        <w:rPr>
          <w:rStyle w:val="Ninguno"/>
          <w:rFonts w:ascii="Calibri" w:hAnsi="Calibri"/>
          <w:i/>
          <w:iCs/>
          <w:position w:val="10"/>
          <w:sz w:val="14"/>
          <w:szCs w:val="14"/>
        </w:rPr>
        <w:t>a</w:t>
      </w:r>
      <w:r>
        <w:rPr>
          <w:rFonts w:ascii="Calibri" w:hAnsi="Calibri"/>
          <w:i/>
          <w:iCs/>
          <w:sz w:val="14"/>
          <w:szCs w:val="14"/>
        </w:rPr>
        <w:t xml:space="preserve"> </w:t>
      </w:r>
      <w:r>
        <w:rPr>
          <w:rFonts w:ascii="Calibri" w:hAnsi="Calibri"/>
          <w:i/>
          <w:iCs/>
          <w:sz w:val="14"/>
          <w:szCs w:val="14"/>
          <w:lang w:val="en-US"/>
        </w:rPr>
        <w:t>Normally distributed variables are expressed as mean and standard deviation (SD)</w:t>
      </w:r>
      <w:r>
        <w:rPr>
          <w:rFonts w:ascii="Calibri" w:hAnsi="Calibri"/>
          <w:i/>
          <w:iCs/>
          <w:sz w:val="14"/>
          <w:szCs w:val="14"/>
        </w:rPr>
        <w:t xml:space="preserve">. </w:t>
      </w:r>
      <w:r>
        <w:rPr>
          <w:rStyle w:val="Ninguno"/>
          <w:rFonts w:ascii="Calibri" w:hAnsi="Calibri"/>
          <w:i/>
          <w:iCs/>
          <w:position w:val="10"/>
          <w:sz w:val="14"/>
          <w:szCs w:val="14"/>
        </w:rPr>
        <w:t xml:space="preserve">b </w:t>
      </w:r>
      <w:r>
        <w:rPr>
          <w:rFonts w:ascii="Calibri" w:hAnsi="Calibri"/>
          <w:i/>
          <w:iCs/>
          <w:sz w:val="14"/>
          <w:szCs w:val="14"/>
          <w:lang w:val="it-IT"/>
        </w:rPr>
        <w:t>Non</w:t>
      </w:r>
      <w:r>
        <w:rPr>
          <w:rFonts w:ascii="Calibri" w:hAnsi="Calibri"/>
          <w:i/>
          <w:iCs/>
          <w:sz w:val="14"/>
          <w:szCs w:val="14"/>
        </w:rPr>
        <w:t xml:space="preserve"> </w:t>
      </w:r>
      <w:r>
        <w:rPr>
          <w:rFonts w:ascii="Calibri" w:hAnsi="Calibri"/>
          <w:i/>
          <w:iCs/>
          <w:sz w:val="14"/>
          <w:szCs w:val="14"/>
          <w:lang w:val="en-US"/>
        </w:rPr>
        <w:t>normally distributed variables are expressed as median and interquartile range</w:t>
      </w:r>
      <w:r>
        <w:rPr>
          <w:rFonts w:ascii="Calibri" w:hAnsi="Calibri"/>
          <w:i/>
          <w:iCs/>
          <w:sz w:val="14"/>
          <w:szCs w:val="14"/>
        </w:rPr>
        <w:t>.</w:t>
      </w:r>
    </w:p>
    <w:p w14:paraId="3966190B" w14:textId="77777777" w:rsidR="00BA79EA" w:rsidRDefault="00BA79EA" w:rsidP="00BA79EA">
      <w:pPr>
        <w:pStyle w:val="Poromisin"/>
        <w:spacing w:before="0" w:line="480" w:lineRule="auto"/>
        <w:jc w:val="both"/>
        <w:rPr>
          <w:rFonts w:ascii="Calibri" w:eastAsia="Calibri" w:hAnsi="Calibri" w:cs="Calibri"/>
          <w:i/>
          <w:iCs/>
          <w:sz w:val="14"/>
          <w:szCs w:val="14"/>
        </w:rPr>
      </w:pPr>
      <w:r>
        <w:rPr>
          <w:rFonts w:ascii="Calibri" w:hAnsi="Calibri"/>
          <w:i/>
          <w:iCs/>
          <w:sz w:val="14"/>
          <w:szCs w:val="14"/>
        </w:rPr>
        <w:t xml:space="preserve">ASA, American </w:t>
      </w:r>
      <w:proofErr w:type="spellStart"/>
      <w:r>
        <w:rPr>
          <w:rFonts w:ascii="Calibri" w:hAnsi="Calibri"/>
          <w:i/>
          <w:iCs/>
          <w:sz w:val="14"/>
          <w:szCs w:val="14"/>
        </w:rPr>
        <w:t>Society</w:t>
      </w:r>
      <w:proofErr w:type="spellEnd"/>
      <w:r>
        <w:rPr>
          <w:rFonts w:ascii="Calibri" w:hAnsi="Calibri"/>
          <w:i/>
          <w:iCs/>
          <w:sz w:val="14"/>
          <w:szCs w:val="14"/>
        </w:rPr>
        <w:t xml:space="preserve"> of </w:t>
      </w:r>
      <w:proofErr w:type="spellStart"/>
      <w:r>
        <w:rPr>
          <w:rFonts w:ascii="Calibri" w:hAnsi="Calibri"/>
          <w:i/>
          <w:iCs/>
          <w:sz w:val="14"/>
          <w:szCs w:val="14"/>
        </w:rPr>
        <w:t>Anaesthesiologists</w:t>
      </w:r>
      <w:proofErr w:type="spellEnd"/>
      <w:r>
        <w:rPr>
          <w:rFonts w:ascii="Calibri" w:hAnsi="Calibri"/>
          <w:i/>
          <w:iCs/>
          <w:sz w:val="14"/>
          <w:szCs w:val="14"/>
        </w:rPr>
        <w:t xml:space="preserve">; BMI, </w:t>
      </w:r>
      <w:proofErr w:type="spellStart"/>
      <w:r>
        <w:rPr>
          <w:rFonts w:ascii="Calibri" w:hAnsi="Calibri"/>
          <w:i/>
          <w:iCs/>
          <w:sz w:val="14"/>
          <w:szCs w:val="14"/>
        </w:rPr>
        <w:t>body</w:t>
      </w:r>
      <w:proofErr w:type="spellEnd"/>
      <w:r>
        <w:rPr>
          <w:rFonts w:ascii="Calibri" w:hAnsi="Calibri"/>
          <w:i/>
          <w:iCs/>
          <w:sz w:val="14"/>
          <w:szCs w:val="14"/>
        </w:rPr>
        <w:t xml:space="preserve"> </w:t>
      </w:r>
      <w:proofErr w:type="spellStart"/>
      <w:r>
        <w:rPr>
          <w:rFonts w:ascii="Calibri" w:hAnsi="Calibri"/>
          <w:i/>
          <w:iCs/>
          <w:sz w:val="14"/>
          <w:szCs w:val="14"/>
        </w:rPr>
        <w:t>mass</w:t>
      </w:r>
      <w:proofErr w:type="spellEnd"/>
      <w:r>
        <w:rPr>
          <w:rFonts w:ascii="Calibri" w:hAnsi="Calibri"/>
          <w:i/>
          <w:iCs/>
          <w:sz w:val="14"/>
          <w:szCs w:val="14"/>
        </w:rPr>
        <w:t xml:space="preserve"> </w:t>
      </w:r>
      <w:proofErr w:type="spellStart"/>
      <w:r>
        <w:rPr>
          <w:rFonts w:ascii="Calibri" w:hAnsi="Calibri"/>
          <w:i/>
          <w:iCs/>
          <w:sz w:val="14"/>
          <w:szCs w:val="14"/>
        </w:rPr>
        <w:t>index</w:t>
      </w:r>
      <w:proofErr w:type="spellEnd"/>
      <w:r>
        <w:rPr>
          <w:rFonts w:ascii="Calibri" w:hAnsi="Calibri"/>
          <w:i/>
          <w:iCs/>
          <w:sz w:val="14"/>
          <w:szCs w:val="14"/>
        </w:rPr>
        <w:t xml:space="preserve">; VAS, </w:t>
      </w:r>
      <w:r>
        <w:rPr>
          <w:rFonts w:ascii="Calibri" w:hAnsi="Calibri"/>
          <w:i/>
          <w:iCs/>
          <w:sz w:val="14"/>
          <w:szCs w:val="14"/>
          <w:lang w:val="en-US"/>
        </w:rPr>
        <w:t>visual analogue scale</w:t>
      </w:r>
      <w:r>
        <w:rPr>
          <w:rFonts w:ascii="Calibri" w:hAnsi="Calibri"/>
          <w:i/>
          <w:iCs/>
          <w:sz w:val="14"/>
          <w:szCs w:val="14"/>
        </w:rPr>
        <w:t>.</w:t>
      </w:r>
    </w:p>
    <w:p w14:paraId="1CDB8328" w14:textId="77777777" w:rsidR="001C4CA7" w:rsidRDefault="001C4CA7"/>
    <w:sectPr w:rsidR="001C4CA7" w:rsidSect="0096391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8FD"/>
    <w:rsid w:val="00003380"/>
    <w:rsid w:val="001C4CA7"/>
    <w:rsid w:val="008A08FD"/>
    <w:rsid w:val="00963910"/>
    <w:rsid w:val="009F6F12"/>
    <w:rsid w:val="00BA79EA"/>
    <w:rsid w:val="00C87B52"/>
    <w:rsid w:val="00D60009"/>
    <w:rsid w:val="00D96D9C"/>
    <w:rsid w:val="00FA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DEC8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FD"/>
    <w:rPr>
      <w:rFonts w:ascii="Times New Roman" w:eastAsia="Times New Roman" w:hAnsi="Times New Roman" w:cs="Times New Roman"/>
      <w:lang w:val="en-U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inguno">
    <w:name w:val="Ninguno"/>
    <w:rsid w:val="008A08FD"/>
  </w:style>
  <w:style w:type="paragraph" w:customStyle="1" w:styleId="Estilodetabla2">
    <w:name w:val="Estilo de tabla 2"/>
    <w:rsid w:val="008A08FD"/>
    <w:rPr>
      <w:rFonts w:ascii="Helvetica Neue" w:eastAsia="Helvetica Neue" w:hAnsi="Helvetica Neue" w:cs="Helvetica Neue"/>
      <w:color w:val="000000"/>
      <w:sz w:val="20"/>
      <w:szCs w:val="20"/>
    </w:rPr>
  </w:style>
  <w:style w:type="paragraph" w:customStyle="1" w:styleId="Poromisin">
    <w:name w:val="Por omisión"/>
    <w:rsid w:val="00BA79EA"/>
    <w:pPr>
      <w:spacing w:before="160"/>
    </w:pPr>
    <w:rPr>
      <w:rFonts w:ascii="Helvetica Neue" w:eastAsia="Arial Unicode MS" w:hAnsi="Helvetica Neue" w:cs="Arial Unicode MS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FD"/>
    <w:rPr>
      <w:rFonts w:ascii="Times New Roman" w:eastAsia="Times New Roman" w:hAnsi="Times New Roman" w:cs="Times New Roman"/>
      <w:lang w:val="en-U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inguno">
    <w:name w:val="Ninguno"/>
    <w:rsid w:val="008A08FD"/>
  </w:style>
  <w:style w:type="paragraph" w:customStyle="1" w:styleId="Estilodetabla2">
    <w:name w:val="Estilo de tabla 2"/>
    <w:rsid w:val="008A08FD"/>
    <w:rPr>
      <w:rFonts w:ascii="Helvetica Neue" w:eastAsia="Helvetica Neue" w:hAnsi="Helvetica Neue" w:cs="Helvetica Neue"/>
      <w:color w:val="000000"/>
      <w:sz w:val="20"/>
      <w:szCs w:val="20"/>
    </w:rPr>
  </w:style>
  <w:style w:type="paragraph" w:customStyle="1" w:styleId="Poromisin">
    <w:name w:val="Por omisión"/>
    <w:rsid w:val="00BA79EA"/>
    <w:pPr>
      <w:spacing w:before="160"/>
    </w:pPr>
    <w:rPr>
      <w:rFonts w:ascii="Helvetica Neue" w:eastAsia="Arial Unicode MS" w:hAnsi="Helvetica Neue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7566597-AB45-AF45-8C73-6954D4190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258</Words>
  <Characters>1424</Characters>
  <Application>Microsoft Macintosh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nat</cp:lastModifiedBy>
  <cp:revision>6</cp:revision>
  <dcterms:created xsi:type="dcterms:W3CDTF">2023-09-21T18:19:00Z</dcterms:created>
  <dcterms:modified xsi:type="dcterms:W3CDTF">2024-10-13T14:26:00Z</dcterms:modified>
</cp:coreProperties>
</file>