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06DC" w14:textId="77777777" w:rsidR="002C64CE" w:rsidRPr="003B5BAB" w:rsidRDefault="002C64CE" w:rsidP="002C64CE">
      <w:pPr>
        <w:pStyle w:val="NoSpacing"/>
        <w:spacing w:before="120" w:after="120"/>
        <w:rPr>
          <w:rFonts w:asciiTheme="minorHAnsi" w:hAnsiTheme="minorHAnsi" w:cstheme="minorHAnsi"/>
          <w:b/>
          <w:bCs/>
        </w:rPr>
      </w:pPr>
      <w:r w:rsidRPr="003B5BAB">
        <w:rPr>
          <w:rFonts w:asciiTheme="minorHAnsi" w:hAnsiTheme="minorHAnsi" w:cstheme="minorHAnsi"/>
          <w:b/>
          <w:bCs/>
        </w:rPr>
        <w:t>Appendix 1: Analysis code within CFIR domains and constructs</w:t>
      </w:r>
    </w:p>
    <w:p w14:paraId="5D98DEF1" w14:textId="77777777" w:rsidR="002C64CE" w:rsidRPr="002670A1" w:rsidRDefault="002C64CE" w:rsidP="002C64CE">
      <w:pPr>
        <w:pStyle w:val="ListParagraph"/>
      </w:pPr>
      <w:r w:rsidRPr="00C4177F">
        <w:rPr>
          <w:b/>
          <w:bCs/>
        </w:rPr>
        <w:t xml:space="preserve">Intervention </w:t>
      </w:r>
      <w:r>
        <w:rPr>
          <w:b/>
          <w:bCs/>
        </w:rPr>
        <w:t>characteristics</w:t>
      </w:r>
    </w:p>
    <w:p w14:paraId="4CADA628" w14:textId="77777777" w:rsidR="002C64CE" w:rsidRPr="00C4177F" w:rsidRDefault="002C64CE" w:rsidP="002C64CE">
      <w:pPr>
        <w:pStyle w:val="ListParagraph"/>
      </w:pPr>
      <w:r>
        <w:t>This domain encompasses the attributes of CBA intervention that make it easy or harder to implement.</w:t>
      </w:r>
    </w:p>
    <w:p w14:paraId="3CCC27DF" w14:textId="77777777" w:rsidR="002C64CE" w:rsidRPr="00F15662" w:rsidRDefault="002C64CE" w:rsidP="002C64CE">
      <w:pPr>
        <w:numPr>
          <w:ilvl w:val="1"/>
          <w:numId w:val="2"/>
        </w:numPr>
      </w:pPr>
      <w:r w:rsidRPr="00F15662">
        <w:rPr>
          <w:i/>
          <w:iCs/>
        </w:rPr>
        <w:t>Perceived Relative Advantage and Adaptability:</w:t>
      </w:r>
      <w:r w:rsidRPr="00F15662">
        <w:t xml:space="preserve"> This refers to perceptions that the Community-Based Adherence (CBA) intervention is superior to current practices and can be modified or tailored to fit the local context.</w:t>
      </w:r>
    </w:p>
    <w:p w14:paraId="7F225998" w14:textId="77777777" w:rsidR="002C64CE" w:rsidRPr="00F15662" w:rsidRDefault="002C64CE" w:rsidP="002C64CE">
      <w:pPr>
        <w:numPr>
          <w:ilvl w:val="1"/>
          <w:numId w:val="2"/>
        </w:numPr>
      </w:pPr>
      <w:r w:rsidRPr="00F15662">
        <w:rPr>
          <w:i/>
          <w:iCs/>
        </w:rPr>
        <w:t>Complexity:</w:t>
      </w:r>
      <w:r w:rsidRPr="00F15662">
        <w:t xml:space="preserve"> This captures the perceived difficulty of implementing CBA intervention, which may be influenced by its scope, the nature of its components, and the number of elements involved.</w:t>
      </w:r>
    </w:p>
    <w:p w14:paraId="63D41646" w14:textId="77777777" w:rsidR="002C64CE" w:rsidRPr="00F15662" w:rsidRDefault="002C64CE" w:rsidP="002C64CE">
      <w:pPr>
        <w:numPr>
          <w:ilvl w:val="1"/>
          <w:numId w:val="2"/>
        </w:numPr>
      </w:pPr>
      <w:r w:rsidRPr="00F15662">
        <w:rPr>
          <w:i/>
          <w:iCs/>
        </w:rPr>
        <w:t>Cost:</w:t>
      </w:r>
      <w:r w:rsidRPr="00F15662">
        <w:t xml:space="preserve"> This pertains to the perceived financial implications of implementing CBA intervention and whether it is considered affordable.</w:t>
      </w:r>
    </w:p>
    <w:p w14:paraId="5A677796" w14:textId="77777777" w:rsidR="002C64CE" w:rsidRPr="00F15662" w:rsidRDefault="002C64CE" w:rsidP="002C64CE">
      <w:pPr>
        <w:ind w:left="720"/>
      </w:pPr>
      <w:r w:rsidRPr="00F15662">
        <w:rPr>
          <w:b/>
          <w:bCs/>
        </w:rPr>
        <w:t>Process of Implementation</w:t>
      </w:r>
    </w:p>
    <w:p w14:paraId="4E638E82" w14:textId="77777777" w:rsidR="002C64CE" w:rsidRPr="00F15662" w:rsidRDefault="002C64CE" w:rsidP="002C64CE">
      <w:pPr>
        <w:ind w:left="720"/>
      </w:pPr>
      <w:r w:rsidRPr="00F15662">
        <w:t xml:space="preserve">This domain encompasses the activities and strategies employed to introduce and integrate CBA intervention. </w:t>
      </w:r>
      <w:r>
        <w:t>The key</w:t>
      </w:r>
      <w:r w:rsidRPr="00F15662">
        <w:t xml:space="preserve"> components include:</w:t>
      </w:r>
    </w:p>
    <w:p w14:paraId="5C5EE2F9" w14:textId="77777777" w:rsidR="002C64CE" w:rsidRPr="00F15662" w:rsidRDefault="002C64CE" w:rsidP="002C64CE">
      <w:pPr>
        <w:numPr>
          <w:ilvl w:val="2"/>
          <w:numId w:val="1"/>
        </w:numPr>
        <w:tabs>
          <w:tab w:val="num" w:pos="2160"/>
        </w:tabs>
      </w:pPr>
      <w:r w:rsidRPr="00F15662">
        <w:rPr>
          <w:i/>
          <w:iCs/>
        </w:rPr>
        <w:t>Planning:</w:t>
      </w:r>
      <w:r w:rsidRPr="00F15662">
        <w:t xml:space="preserve"> Identifying roles and responsibilities, outlining specific steps and milestones, and defining goals and measures for successful implementation.</w:t>
      </w:r>
    </w:p>
    <w:p w14:paraId="3F364AD1" w14:textId="77777777" w:rsidR="002C64CE" w:rsidRPr="00F15662" w:rsidRDefault="002C64CE" w:rsidP="002C64CE">
      <w:pPr>
        <w:numPr>
          <w:ilvl w:val="2"/>
          <w:numId w:val="1"/>
        </w:numPr>
        <w:tabs>
          <w:tab w:val="num" w:pos="2160"/>
        </w:tabs>
      </w:pPr>
      <w:r w:rsidRPr="00F15662">
        <w:rPr>
          <w:i/>
          <w:iCs/>
        </w:rPr>
        <w:t>Teaming and Engagement:</w:t>
      </w:r>
      <w:r w:rsidRPr="00F15662">
        <w:t xml:space="preserve"> Actively involving stakeholders in the implementation process.</w:t>
      </w:r>
    </w:p>
    <w:p w14:paraId="20E0FE08" w14:textId="77777777" w:rsidR="002C64CE" w:rsidRPr="00F15662" w:rsidRDefault="002C64CE" w:rsidP="002C64CE">
      <w:pPr>
        <w:numPr>
          <w:ilvl w:val="2"/>
          <w:numId w:val="1"/>
        </w:numPr>
        <w:tabs>
          <w:tab w:val="num" w:pos="2160"/>
        </w:tabs>
      </w:pPr>
      <w:r w:rsidRPr="00F15662">
        <w:rPr>
          <w:i/>
          <w:iCs/>
        </w:rPr>
        <w:t>Execution:</w:t>
      </w:r>
      <w:r w:rsidRPr="00F15662">
        <w:t xml:space="preserve"> Carrying out the intervention as designed while adapting to emerging challenges.</w:t>
      </w:r>
    </w:p>
    <w:p w14:paraId="727E4508" w14:textId="77777777" w:rsidR="002C64CE" w:rsidRPr="002670A1" w:rsidRDefault="002C64CE" w:rsidP="002C64CE">
      <w:pPr>
        <w:ind w:left="720"/>
      </w:pPr>
      <w:r w:rsidRPr="00F15662">
        <w:rPr>
          <w:b/>
          <w:bCs/>
        </w:rPr>
        <w:t>Outer Setting</w:t>
      </w:r>
    </w:p>
    <w:p w14:paraId="712B32B9" w14:textId="77777777" w:rsidR="002C64CE" w:rsidRDefault="002C64CE" w:rsidP="002C64CE">
      <w:pPr>
        <w:ind w:left="720"/>
      </w:pPr>
      <w:r>
        <w:t>The domain covers macrolevel factors that may influence the implementation of CBA.</w:t>
      </w:r>
    </w:p>
    <w:p w14:paraId="2145D5ED" w14:textId="77777777" w:rsidR="002C64CE" w:rsidRPr="00F15662" w:rsidRDefault="002C64CE" w:rsidP="002C64CE">
      <w:pPr>
        <w:pStyle w:val="ListParagraph"/>
        <w:numPr>
          <w:ilvl w:val="0"/>
          <w:numId w:val="6"/>
        </w:numPr>
      </w:pPr>
      <w:r w:rsidRPr="00A84F15">
        <w:rPr>
          <w:i/>
          <w:iCs/>
        </w:rPr>
        <w:t xml:space="preserve">Patient </w:t>
      </w:r>
      <w:r>
        <w:rPr>
          <w:i/>
          <w:iCs/>
        </w:rPr>
        <w:t>needs</w:t>
      </w:r>
      <w:r w:rsidRPr="00A84F15">
        <w:rPr>
          <w:i/>
          <w:iCs/>
        </w:rPr>
        <w:t xml:space="preserve"> and </w:t>
      </w:r>
      <w:r>
        <w:rPr>
          <w:i/>
          <w:iCs/>
        </w:rPr>
        <w:t>resources</w:t>
      </w:r>
      <w:r w:rsidRPr="00A84F15">
        <w:rPr>
          <w:i/>
          <w:iCs/>
        </w:rPr>
        <w:t>:</w:t>
      </w:r>
      <w:r w:rsidRPr="00EA621F">
        <w:t xml:space="preserve"> This captures the extent to which the intervention </w:t>
      </w:r>
      <w:r>
        <w:t>considers the</w:t>
      </w:r>
      <w:r w:rsidRPr="00EA621F">
        <w:t xml:space="preserve"> existing needs of patients and </w:t>
      </w:r>
      <w:r>
        <w:t>prioritizes</w:t>
      </w:r>
      <w:r w:rsidRPr="00EA621F">
        <w:t xml:space="preserve"> them on </w:t>
      </w:r>
      <w:r>
        <w:t xml:space="preserve">the basis of </w:t>
      </w:r>
      <w:r w:rsidRPr="00EA621F">
        <w:t xml:space="preserve">available resources to meet </w:t>
      </w:r>
      <w:r>
        <w:t>their</w:t>
      </w:r>
      <w:r w:rsidRPr="00EA621F">
        <w:t xml:space="preserve"> needs.</w:t>
      </w:r>
    </w:p>
    <w:p w14:paraId="0F2C9C2C" w14:textId="77777777" w:rsidR="002C64CE" w:rsidRPr="00F15662" w:rsidRDefault="002C64CE" w:rsidP="002C64CE">
      <w:pPr>
        <w:numPr>
          <w:ilvl w:val="1"/>
          <w:numId w:val="3"/>
        </w:numPr>
      </w:pPr>
      <w:r w:rsidRPr="00F15662">
        <w:rPr>
          <w:i/>
          <w:iCs/>
        </w:rPr>
        <w:t>External Policies and Incentives:</w:t>
      </w:r>
      <w:r w:rsidRPr="00F15662">
        <w:t xml:space="preserve"> This includes funding from external entities (e.g., grants or reimbursements) to support the implementation and delivery of CBA intervention, as well as any policies governing the role of </w:t>
      </w:r>
      <w:r>
        <w:t>community health volunteers</w:t>
      </w:r>
      <w:r w:rsidRPr="00F15662">
        <w:t xml:space="preserve"> (CHVs) in the community.</w:t>
      </w:r>
    </w:p>
    <w:p w14:paraId="3D700ADE" w14:textId="77777777" w:rsidR="002C64CE" w:rsidRPr="00A84F15" w:rsidRDefault="002C64CE" w:rsidP="002C64CE">
      <w:pPr>
        <w:ind w:left="720"/>
      </w:pPr>
      <w:r w:rsidRPr="00F15662">
        <w:rPr>
          <w:b/>
          <w:bCs/>
        </w:rPr>
        <w:t>Inner Setting</w:t>
      </w:r>
    </w:p>
    <w:p w14:paraId="0E5DBA0C" w14:textId="77777777" w:rsidR="002C64CE" w:rsidRPr="00F15662" w:rsidRDefault="002C64CE" w:rsidP="002C64CE">
      <w:pPr>
        <w:ind w:left="720"/>
      </w:pPr>
      <w:r>
        <w:t>This domain describes the factors that influence the implementation of CBA within the setting in which it is being implemented.</w:t>
      </w:r>
    </w:p>
    <w:p w14:paraId="3CB71834" w14:textId="77777777" w:rsidR="002C64CE" w:rsidRPr="00F15662" w:rsidRDefault="002C64CE" w:rsidP="002C64CE">
      <w:pPr>
        <w:numPr>
          <w:ilvl w:val="1"/>
          <w:numId w:val="4"/>
        </w:numPr>
      </w:pPr>
      <w:r w:rsidRPr="00F15662">
        <w:rPr>
          <w:i/>
          <w:iCs/>
        </w:rPr>
        <w:t>Team Culture:</w:t>
      </w:r>
      <w:r w:rsidRPr="00F15662">
        <w:t xml:space="preserve"> The shared values, beliefs, and norms among healthcare providers, CHVs, patients, and caregivers foster formal and informal relationships to support the implementation of CBA intervention.</w:t>
      </w:r>
    </w:p>
    <w:p w14:paraId="5728656C" w14:textId="77777777" w:rsidR="002C64CE" w:rsidRPr="00F15662" w:rsidRDefault="002C64CE" w:rsidP="002C64CE">
      <w:pPr>
        <w:numPr>
          <w:ilvl w:val="1"/>
          <w:numId w:val="4"/>
        </w:numPr>
      </w:pPr>
      <w:r w:rsidRPr="00F15662">
        <w:rPr>
          <w:i/>
          <w:iCs/>
        </w:rPr>
        <w:lastRenderedPageBreak/>
        <w:t>Mission Alignment:</w:t>
      </w:r>
      <w:r w:rsidRPr="00F15662">
        <w:t xml:space="preserve"> Ensuring that the implementation and delivery of the intervention align with the overarching goals and commitment of the HIV care delivery program.</w:t>
      </w:r>
    </w:p>
    <w:p w14:paraId="43C7B49B" w14:textId="77777777" w:rsidR="002C64CE" w:rsidRPr="00A84F15" w:rsidRDefault="002C64CE" w:rsidP="002C64CE">
      <w:pPr>
        <w:ind w:left="720"/>
      </w:pPr>
      <w:r w:rsidRPr="00F15662">
        <w:rPr>
          <w:b/>
          <w:bCs/>
        </w:rPr>
        <w:t xml:space="preserve">Individual </w:t>
      </w:r>
      <w:r>
        <w:rPr>
          <w:b/>
          <w:bCs/>
        </w:rPr>
        <w:t>characteristics</w:t>
      </w:r>
    </w:p>
    <w:p w14:paraId="5F686603" w14:textId="77777777" w:rsidR="002C64CE" w:rsidRPr="00F15662" w:rsidRDefault="002C64CE" w:rsidP="002C64CE">
      <w:pPr>
        <w:ind w:left="720"/>
      </w:pPr>
      <w:r>
        <w:t>These are the personal attributes of the individuals engaged in the implementation of CBA, OALW and CHVs.</w:t>
      </w:r>
    </w:p>
    <w:p w14:paraId="431E7AC6" w14:textId="77777777" w:rsidR="002C64CE" w:rsidRPr="00F15662" w:rsidRDefault="002C64CE" w:rsidP="002C64CE">
      <w:pPr>
        <w:numPr>
          <w:ilvl w:val="1"/>
          <w:numId w:val="5"/>
        </w:numPr>
      </w:pPr>
      <w:r w:rsidRPr="00F15662">
        <w:rPr>
          <w:i/>
          <w:iCs/>
        </w:rPr>
        <w:t>Beliefs:</w:t>
      </w:r>
      <w:r w:rsidRPr="00F15662">
        <w:t xml:space="preserve"> The perceptions held by older adults regarding hypertension and its treatment, as well as how CBA intervention can influence these beliefs.</w:t>
      </w:r>
    </w:p>
    <w:p w14:paraId="0358D72C" w14:textId="77777777" w:rsidR="002C64CE" w:rsidRPr="00F15662" w:rsidRDefault="002C64CE" w:rsidP="002C64CE">
      <w:pPr>
        <w:numPr>
          <w:ilvl w:val="1"/>
          <w:numId w:val="5"/>
        </w:numPr>
      </w:pPr>
      <w:r w:rsidRPr="00F15662">
        <w:rPr>
          <w:i/>
          <w:iCs/>
        </w:rPr>
        <w:t>Knowledge:</w:t>
      </w:r>
      <w:r w:rsidRPr="00F15662">
        <w:t xml:space="preserve"> </w:t>
      </w:r>
      <w:r>
        <w:t>Information</w:t>
      </w:r>
      <w:r w:rsidRPr="00F15662">
        <w:t xml:space="preserve"> and understanding </w:t>
      </w:r>
      <w:r>
        <w:t xml:space="preserve">are </w:t>
      </w:r>
      <w:r w:rsidRPr="00F15662">
        <w:t xml:space="preserve">necessary for individuals to effectively manage or support </w:t>
      </w:r>
      <w:r>
        <w:t xml:space="preserve">their </w:t>
      </w:r>
      <w:r w:rsidRPr="00F15662">
        <w:t>adherence to hypertension treatment.</w:t>
      </w:r>
    </w:p>
    <w:p w14:paraId="02437347" w14:textId="77777777" w:rsidR="002C64CE" w:rsidRPr="00F15662" w:rsidRDefault="002C64CE" w:rsidP="002C64CE">
      <w:pPr>
        <w:numPr>
          <w:ilvl w:val="1"/>
          <w:numId w:val="5"/>
        </w:numPr>
      </w:pPr>
      <w:r w:rsidRPr="00F15662">
        <w:rPr>
          <w:i/>
          <w:iCs/>
        </w:rPr>
        <w:t>Other Personal Attributes:</w:t>
      </w:r>
      <w:r w:rsidRPr="00F15662">
        <w:t xml:space="preserve"> The personal qualities of CHVs that facilitate successful intervention delivery, such as empathy and trust.</w:t>
      </w:r>
    </w:p>
    <w:p w14:paraId="21D48E11" w14:textId="77777777" w:rsidR="00655D21" w:rsidRDefault="00655D21"/>
    <w:sectPr w:rsidR="00655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876"/>
    <w:multiLevelType w:val="multilevel"/>
    <w:tmpl w:val="49E4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43F39"/>
    <w:multiLevelType w:val="multilevel"/>
    <w:tmpl w:val="5610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B1AEC"/>
    <w:multiLevelType w:val="multilevel"/>
    <w:tmpl w:val="2E7E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B4995"/>
    <w:multiLevelType w:val="multilevel"/>
    <w:tmpl w:val="1422E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72C72"/>
    <w:multiLevelType w:val="hybridMultilevel"/>
    <w:tmpl w:val="A20EA332"/>
    <w:lvl w:ilvl="0" w:tplc="C7BC0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C18CE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9A81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8CA8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F6E1B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2A56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C055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C615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BAAD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267A2F"/>
    <w:multiLevelType w:val="multilevel"/>
    <w:tmpl w:val="A06E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56809">
    <w:abstractNumId w:val="2"/>
  </w:num>
  <w:num w:numId="2" w16cid:durableId="2085224601">
    <w:abstractNumId w:val="3"/>
  </w:num>
  <w:num w:numId="3" w16cid:durableId="310136172">
    <w:abstractNumId w:val="0"/>
  </w:num>
  <w:num w:numId="4" w16cid:durableId="144006312">
    <w:abstractNumId w:val="5"/>
  </w:num>
  <w:num w:numId="5" w16cid:durableId="585387508">
    <w:abstractNumId w:val="1"/>
  </w:num>
  <w:num w:numId="6" w16cid:durableId="912005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CE"/>
    <w:rsid w:val="002C64CE"/>
    <w:rsid w:val="0055257B"/>
    <w:rsid w:val="005A24CC"/>
    <w:rsid w:val="006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0DC0F"/>
  <w15:chartTrackingRefBased/>
  <w15:docId w15:val="{CF498CA5-E60A-454F-A07B-B738C96B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C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4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4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4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4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4C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C64CE"/>
    <w:pPr>
      <w:spacing w:after="0" w:line="240" w:lineRule="auto"/>
      <w:jc w:val="both"/>
    </w:pPr>
    <w:rPr>
      <w:rFonts w:ascii="Arial" w:eastAsiaTheme="minorEastAsia" w:hAnsi="Arial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C64CE"/>
    <w:rPr>
      <w:rFonts w:ascii="Arial" w:eastAsiaTheme="minorEastAsia" w:hAnsi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2490</Characters>
  <Application>Microsoft Office Word</Application>
  <DocSecurity>0</DocSecurity>
  <Lines>48</Lines>
  <Paragraphs>24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Kirui, Jepchirchir</dc:creator>
  <cp:keywords/>
  <dc:description/>
  <cp:lastModifiedBy>Kirui, Jepchirchir</cp:lastModifiedBy>
  <cp:revision>1</cp:revision>
  <dcterms:created xsi:type="dcterms:W3CDTF">2025-06-15T06:33:00Z</dcterms:created>
  <dcterms:modified xsi:type="dcterms:W3CDTF">2025-06-15T06:33:00Z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ecebd17f-d1c4-40c1-a621-96642f403932</vt:lpwstr>
  </property>
</Properties>
</file>