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1076F" w14:textId="77777777" w:rsidR="001A62B9" w:rsidRPr="00870158" w:rsidRDefault="001A62B9" w:rsidP="001A62B9">
      <w:pPr>
        <w:spacing w:line="480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870158">
        <w:rPr>
          <w:rFonts w:ascii="Arial" w:hAnsi="Arial" w:cs="Arial"/>
          <w:b/>
          <w:bCs/>
          <w:sz w:val="32"/>
          <w:szCs w:val="32"/>
        </w:rPr>
        <w:t>Supplementary material</w:t>
      </w:r>
    </w:p>
    <w:p w14:paraId="4CD7243C" w14:textId="77777777" w:rsidR="001A62B9" w:rsidRPr="00870158" w:rsidRDefault="001A62B9" w:rsidP="001A62B9">
      <w:pPr>
        <w:spacing w:line="480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870158">
        <w:rPr>
          <w:rFonts w:ascii="Arial" w:hAnsi="Arial" w:cs="Arial"/>
          <w:noProof/>
        </w:rPr>
        <w:drawing>
          <wp:inline distT="0" distB="0" distL="0" distR="0" wp14:anchorId="591B891A" wp14:editId="106781BD">
            <wp:extent cx="5727700" cy="2867522"/>
            <wp:effectExtent l="0" t="0" r="6350" b="9525"/>
            <wp:docPr id="2694601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86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5F5D3" w14:textId="77777777" w:rsidR="001A62B9" w:rsidRPr="00870158" w:rsidRDefault="001A62B9" w:rsidP="001A62B9">
      <w:pPr>
        <w:spacing w:line="480" w:lineRule="auto"/>
        <w:jc w:val="both"/>
        <w:rPr>
          <w:rFonts w:ascii="Arial" w:hAnsi="Arial" w:cs="Arial"/>
          <w:u w:val="single"/>
        </w:rPr>
      </w:pPr>
      <w:r w:rsidRPr="00870158">
        <w:rPr>
          <w:rFonts w:ascii="Arial" w:hAnsi="Arial" w:cs="Arial"/>
          <w:u w:val="single"/>
        </w:rPr>
        <w:t>Figure 4: A forest plot of the prevalence of polypharmacy among cancer patients across reviewed studies using fixed effects model. Each point represents the prevalence rate for a study, with the horizontal lines representing the 95% confidence intervals.</w:t>
      </w:r>
    </w:p>
    <w:p w14:paraId="38048C4D" w14:textId="77777777" w:rsidR="001A62B9" w:rsidRPr="00870158" w:rsidRDefault="001A62B9" w:rsidP="001A62B9">
      <w:pPr>
        <w:spacing w:line="480" w:lineRule="auto"/>
        <w:jc w:val="both"/>
        <w:rPr>
          <w:rFonts w:ascii="Arial" w:hAnsi="Arial" w:cs="Arial"/>
          <w:u w:val="single"/>
        </w:rPr>
      </w:pPr>
      <w:r w:rsidRPr="00870158">
        <w:rPr>
          <w:rFonts w:ascii="Arial" w:hAnsi="Arial" w:cs="Arial"/>
          <w:noProof/>
        </w:rPr>
        <w:drawing>
          <wp:inline distT="0" distB="0" distL="0" distR="0" wp14:anchorId="6DE8FA96" wp14:editId="1DE23EE9">
            <wp:extent cx="5727700" cy="2210917"/>
            <wp:effectExtent l="0" t="0" r="6350" b="0"/>
            <wp:docPr id="15206444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10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72823" w14:textId="77777777" w:rsidR="001A62B9" w:rsidRPr="00870158" w:rsidRDefault="001A62B9" w:rsidP="001A62B9">
      <w:pPr>
        <w:spacing w:line="480" w:lineRule="auto"/>
        <w:jc w:val="both"/>
        <w:rPr>
          <w:rFonts w:ascii="Arial" w:hAnsi="Arial" w:cs="Arial"/>
          <w:u w:val="single"/>
        </w:rPr>
      </w:pPr>
      <w:r w:rsidRPr="00870158">
        <w:rPr>
          <w:rFonts w:ascii="Arial" w:hAnsi="Arial" w:cs="Arial"/>
          <w:u w:val="single"/>
        </w:rPr>
        <w:t>Figure 5: A forest plot of the prevalence of polypharmacy among cancer patients across reviewed studies using the inverse heterogeneity model. Each point represents the prevalence rate for a study, with the horizontal lines representing the 95% confidence intervals.</w:t>
      </w:r>
    </w:p>
    <w:p w14:paraId="31B50F67" w14:textId="77777777" w:rsidR="00EB4A2D" w:rsidRDefault="00EB4A2D"/>
    <w:sectPr w:rsidR="00EB4A2D" w:rsidSect="001A62B9">
      <w:pgSz w:w="11900" w:h="16840"/>
      <w:pgMar w:top="1440" w:right="1440" w:bottom="1440" w:left="1440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B9"/>
    <w:rsid w:val="001A62B9"/>
    <w:rsid w:val="005C0D39"/>
    <w:rsid w:val="0070406C"/>
    <w:rsid w:val="00724754"/>
    <w:rsid w:val="0081322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E2B07"/>
  <w15:chartTrackingRefBased/>
  <w15:docId w15:val="{03FA3A89-6AA4-4780-AFCF-757EA9DA0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2B9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2B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2B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2B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2B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2B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2B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2B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2B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2B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2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2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2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2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2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2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2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2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2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2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A6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2B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A6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2B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A62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2B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A62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2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2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2B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A6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2025-08-08T12:25:00Z</dcterms:created>
  <dcterms:modified xsi:type="dcterms:W3CDTF">2025-08-08T12:26:00Z</dcterms:modified>
</cp:coreProperties>
</file>