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B049C" w:rsidRDefault="00000000">
      <w:pPr>
        <w:jc w:val="center"/>
      </w:pPr>
      <w:r>
        <w:rPr>
          <w:noProof/>
        </w:rPr>
        <w:drawing>
          <wp:inline distT="0" distB="0" distL="0" distR="0">
            <wp:extent cx="6339833" cy="2520000"/>
            <wp:effectExtent l="0" t="0" r="0" b="0"/>
            <wp:docPr id="1973070521" name="image2.png" descr="metin, diyagram, ekran görüntüsü, daire içeren bir resim&#10;&#10;Yapay zeka tarafından oluşturulan içerik yanlış olabili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etin, diyagram, ekran görüntüsü, daire içeren bir resim&#10;&#10;Yapay zeka tarafından oluşturulan içerik yanlış olabilir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9833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03ECB458" w:rsidR="00FB049C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Sup. Fig. 1.  FYHC Co-T and pFYHC expression system.</w:t>
      </w:r>
      <w:r>
        <w:rPr>
          <w:rFonts w:ascii="Arial" w:eastAsia="Arial" w:hAnsi="Arial" w:cs="Arial"/>
          <w:sz w:val="22"/>
          <w:szCs w:val="22"/>
        </w:rPr>
        <w:t xml:space="preserve"> A. In FYHC Co-T expression system, pETDuet plasmid has C-terminal 10xHis tagged YidC and C-terminal 3x StepTag II Tagged FtsH. B. pRSFDuet plasmid has HflK and HflC without tag. pETDuet has ampicillin and pRSFDuet has kanamycin resistance genes. Both plasmids were co-transfermed into </w:t>
      </w:r>
      <w:r>
        <w:rPr>
          <w:rFonts w:ascii="Arial" w:eastAsia="Arial" w:hAnsi="Arial" w:cs="Arial"/>
          <w:i/>
          <w:sz w:val="22"/>
          <w:szCs w:val="22"/>
        </w:rPr>
        <w:t>E. coli</w:t>
      </w:r>
      <w:r>
        <w:rPr>
          <w:rFonts w:ascii="Arial" w:eastAsia="Arial" w:hAnsi="Arial" w:cs="Arial"/>
          <w:sz w:val="22"/>
          <w:szCs w:val="22"/>
        </w:rPr>
        <w:t xml:space="preserve"> Bl21 (DE3) or C43 (DE3) cells. B. In pFYHC expression system, a single plasmid, pFYHC, encodes 4 genes; FtsH-3xStreTagII under the arabinose promoter, 10xHis-HflK and HflC under the T7 promoter, YidC-3xFlagTag under the trc promoter. pFYHC plasmid was transformed into </w:t>
      </w:r>
      <w:r>
        <w:rPr>
          <w:rFonts w:ascii="Arial" w:eastAsia="Arial" w:hAnsi="Arial" w:cs="Arial"/>
          <w:i/>
          <w:sz w:val="22"/>
          <w:szCs w:val="22"/>
        </w:rPr>
        <w:t>E. coli</w:t>
      </w:r>
      <w:r>
        <w:rPr>
          <w:rFonts w:ascii="Arial" w:eastAsia="Arial" w:hAnsi="Arial" w:cs="Arial"/>
          <w:sz w:val="22"/>
          <w:szCs w:val="22"/>
        </w:rPr>
        <w:t xml:space="preserve"> Bl21 (DE3) or C43 (DE3) cells and maintained with ampicilin, kanamycin and spectinomycin.</w:t>
      </w:r>
    </w:p>
    <w:tbl>
      <w:tblPr>
        <w:tblStyle w:val="a0"/>
        <w:tblpPr w:leftFromText="141" w:rightFromText="141" w:vertAnchor="text" w:tblpY="1357"/>
        <w:tblW w:w="9807" w:type="dxa"/>
        <w:tblInd w:w="0" w:type="dxa"/>
        <w:tblBorders>
          <w:top w:val="single" w:sz="4" w:space="0" w:color="7F7F7F"/>
          <w:bottom w:val="single" w:sz="4" w:space="0" w:color="7F7F7F"/>
        </w:tblBorders>
        <w:tblLayout w:type="fixed"/>
        <w:tblLook w:val="0600" w:firstRow="0" w:lastRow="0" w:firstColumn="0" w:lastColumn="0" w:noHBand="1" w:noVBand="1"/>
      </w:tblPr>
      <w:tblGrid>
        <w:gridCol w:w="1750"/>
        <w:gridCol w:w="5196"/>
        <w:gridCol w:w="2861"/>
      </w:tblGrid>
      <w:tr w:rsidR="00FB049C" w14:paraId="7E36E102" w14:textId="77777777" w:rsidTr="00FB049C">
        <w:trPr>
          <w:trHeight w:val="19"/>
        </w:trPr>
        <w:tc>
          <w:tcPr>
            <w:tcW w:w="1750" w:type="dxa"/>
          </w:tcPr>
          <w:p w14:paraId="00000003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Primer Name</w:t>
            </w:r>
          </w:p>
        </w:tc>
        <w:tc>
          <w:tcPr>
            <w:tcW w:w="5196" w:type="dxa"/>
          </w:tcPr>
          <w:p w14:paraId="00000004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Sequence 5’-3’</w:t>
            </w:r>
          </w:p>
        </w:tc>
        <w:tc>
          <w:tcPr>
            <w:tcW w:w="2861" w:type="dxa"/>
          </w:tcPr>
          <w:p w14:paraId="00000005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Aim</w:t>
            </w:r>
          </w:p>
        </w:tc>
      </w:tr>
      <w:tr w:rsidR="00FB049C" w14:paraId="1A631817" w14:textId="77777777" w:rsidTr="00FB049C">
        <w:trPr>
          <w:trHeight w:val="19"/>
        </w:trPr>
        <w:tc>
          <w:tcPr>
            <w:tcW w:w="1750" w:type="dxa"/>
          </w:tcPr>
          <w:p w14:paraId="00000006" w14:textId="77777777" w:rsidR="00FB049C" w:rsidRDefault="00FB049C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96" w:type="dxa"/>
          </w:tcPr>
          <w:p w14:paraId="00000007" w14:textId="77777777" w:rsidR="00FB049C" w:rsidRDefault="00FB049C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61" w:type="dxa"/>
          </w:tcPr>
          <w:p w14:paraId="00000008" w14:textId="77777777" w:rsidR="00FB049C" w:rsidRDefault="00FB049C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B049C" w14:paraId="669FDAAF" w14:textId="77777777" w:rsidTr="00FB049C">
        <w:trPr>
          <w:trHeight w:val="19"/>
        </w:trPr>
        <w:tc>
          <w:tcPr>
            <w:tcW w:w="1750" w:type="dxa"/>
          </w:tcPr>
          <w:p w14:paraId="00000009" w14:textId="77777777" w:rsidR="00FB049C" w:rsidRDefault="00FB049C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96" w:type="dxa"/>
          </w:tcPr>
          <w:p w14:paraId="0000000A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pRSFDuet-YidC10xHis-FtsH3xStrepTagII Design</w:t>
            </w:r>
          </w:p>
        </w:tc>
        <w:tc>
          <w:tcPr>
            <w:tcW w:w="2861" w:type="dxa"/>
          </w:tcPr>
          <w:p w14:paraId="0000000B" w14:textId="77777777" w:rsidR="00FB049C" w:rsidRDefault="00FB049C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B049C" w14:paraId="1D954B7C" w14:textId="77777777" w:rsidTr="00FB049C">
        <w:trPr>
          <w:trHeight w:val="19"/>
        </w:trPr>
        <w:tc>
          <w:tcPr>
            <w:tcW w:w="1750" w:type="dxa"/>
          </w:tcPr>
          <w:p w14:paraId="0000000C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1.FwpETDuet1</w:t>
            </w:r>
          </w:p>
        </w:tc>
        <w:tc>
          <w:tcPr>
            <w:tcW w:w="5196" w:type="dxa"/>
          </w:tcPr>
          <w:p w14:paraId="0000000D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AGCCATCACCATCAT</w:t>
            </w:r>
            <w:r>
              <w:rPr>
                <w:rFonts w:ascii="Arial" w:eastAsia="Arial" w:hAnsi="Arial" w:cs="Arial"/>
                <w:sz w:val="16"/>
                <w:szCs w:val="16"/>
              </w:rPr>
              <w:t>CACCAC</w:t>
            </w:r>
          </w:p>
        </w:tc>
        <w:tc>
          <w:tcPr>
            <w:tcW w:w="2861" w:type="dxa"/>
            <w:vMerge w:val="restart"/>
          </w:tcPr>
          <w:p w14:paraId="0000000E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To linearize pETDuet-1 in the MCS-1 region</w:t>
            </w:r>
          </w:p>
        </w:tc>
      </w:tr>
      <w:tr w:rsidR="00FB049C" w14:paraId="037D9AB5" w14:textId="77777777" w:rsidTr="00FB049C">
        <w:trPr>
          <w:trHeight w:val="19"/>
        </w:trPr>
        <w:tc>
          <w:tcPr>
            <w:tcW w:w="1750" w:type="dxa"/>
          </w:tcPr>
          <w:p w14:paraId="0000000F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1.RwpETDuet1</w:t>
            </w:r>
          </w:p>
        </w:tc>
        <w:tc>
          <w:tcPr>
            <w:tcW w:w="5196" w:type="dxa"/>
          </w:tcPr>
          <w:p w14:paraId="00000010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CATGGTATATCTCCTT</w:t>
            </w:r>
            <w:r>
              <w:rPr>
                <w:rFonts w:ascii="Arial" w:eastAsia="Arial" w:hAnsi="Arial" w:cs="Arial"/>
                <w:sz w:val="16"/>
                <w:szCs w:val="16"/>
              </w:rPr>
              <w:t>CTTAAAGTTAAAC</w:t>
            </w:r>
          </w:p>
        </w:tc>
        <w:tc>
          <w:tcPr>
            <w:tcW w:w="2861" w:type="dxa"/>
            <w:vMerge/>
          </w:tcPr>
          <w:p w14:paraId="00000011" w14:textId="77777777" w:rsidR="00FB049C" w:rsidRDefault="00F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B049C" w14:paraId="04A4D040" w14:textId="77777777" w:rsidTr="00FB049C">
        <w:trPr>
          <w:trHeight w:val="19"/>
        </w:trPr>
        <w:tc>
          <w:tcPr>
            <w:tcW w:w="1750" w:type="dxa"/>
          </w:tcPr>
          <w:p w14:paraId="00000012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 FwYidC</w:t>
            </w:r>
          </w:p>
        </w:tc>
        <w:tc>
          <w:tcPr>
            <w:tcW w:w="5196" w:type="dxa"/>
          </w:tcPr>
          <w:p w14:paraId="00000013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CTTTAAGAAGGAGATATACC</w:t>
            </w:r>
            <w:r>
              <w:rPr>
                <w:rFonts w:ascii="Arial" w:eastAsia="Arial" w:hAnsi="Arial" w:cs="Arial"/>
                <w:sz w:val="16"/>
                <w:szCs w:val="16"/>
              </w:rPr>
              <w:t>ATGGATTCGCAACGCAATCTTTTAG</w:t>
            </w:r>
          </w:p>
        </w:tc>
        <w:tc>
          <w:tcPr>
            <w:tcW w:w="2861" w:type="dxa"/>
            <w:vMerge w:val="restart"/>
          </w:tcPr>
          <w:p w14:paraId="00000014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To amplify YidC-6xHis using the pFYHC plasmid as a template</w:t>
            </w:r>
          </w:p>
        </w:tc>
      </w:tr>
      <w:tr w:rsidR="00FB049C" w14:paraId="41D5C718" w14:textId="77777777" w:rsidTr="00FB049C">
        <w:trPr>
          <w:trHeight w:val="19"/>
        </w:trPr>
        <w:tc>
          <w:tcPr>
            <w:tcW w:w="1750" w:type="dxa"/>
          </w:tcPr>
          <w:p w14:paraId="00000015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 RwYidC</w:t>
            </w:r>
          </w:p>
        </w:tc>
        <w:tc>
          <w:tcPr>
            <w:tcW w:w="5196" w:type="dxa"/>
          </w:tcPr>
          <w:p w14:paraId="00000016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GTGGTGATGATGGTGATG</w:t>
            </w:r>
            <w:r>
              <w:rPr>
                <w:rFonts w:ascii="Arial" w:eastAsia="Arial" w:hAnsi="Arial" w:cs="Arial"/>
                <w:sz w:val="16"/>
                <w:szCs w:val="16"/>
              </w:rPr>
              <w:t>GCTCTGAAAGTACAGATCCTCGG</w:t>
            </w:r>
          </w:p>
        </w:tc>
        <w:tc>
          <w:tcPr>
            <w:tcW w:w="2861" w:type="dxa"/>
            <w:vMerge/>
          </w:tcPr>
          <w:p w14:paraId="00000017" w14:textId="77777777" w:rsidR="00FB049C" w:rsidRDefault="00F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B049C" w14:paraId="4143C520" w14:textId="77777777" w:rsidTr="00FB049C">
        <w:trPr>
          <w:trHeight w:val="19"/>
        </w:trPr>
        <w:tc>
          <w:tcPr>
            <w:tcW w:w="1750" w:type="dxa"/>
          </w:tcPr>
          <w:p w14:paraId="00000018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FmutpETD3</w:t>
            </w:r>
          </w:p>
        </w:tc>
        <w:tc>
          <w:tcPr>
            <w:tcW w:w="5196" w:type="dxa"/>
          </w:tcPr>
          <w:p w14:paraId="00000019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CACCACCACCATTA</w:t>
            </w:r>
            <w:r>
              <w:rPr>
                <w:rFonts w:ascii="Arial" w:eastAsia="Arial" w:hAnsi="Arial" w:cs="Arial"/>
                <w:sz w:val="16"/>
                <w:szCs w:val="16"/>
              </w:rPr>
              <w:t>AAGCCAGGATCCGAATTCGAG</w:t>
            </w:r>
          </w:p>
        </w:tc>
        <w:tc>
          <w:tcPr>
            <w:tcW w:w="2861" w:type="dxa"/>
            <w:vMerge w:val="restart"/>
          </w:tcPr>
          <w:p w14:paraId="0000001A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To convert YidC-6xHis to YidC-10xHis</w:t>
            </w:r>
          </w:p>
        </w:tc>
      </w:tr>
      <w:tr w:rsidR="00FB049C" w14:paraId="5FEE3B8F" w14:textId="77777777" w:rsidTr="00FB049C">
        <w:trPr>
          <w:trHeight w:val="19"/>
        </w:trPr>
        <w:tc>
          <w:tcPr>
            <w:tcW w:w="1750" w:type="dxa"/>
          </w:tcPr>
          <w:p w14:paraId="0000001B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RmutpETD3</w:t>
            </w:r>
          </w:p>
        </w:tc>
        <w:tc>
          <w:tcPr>
            <w:tcW w:w="5196" w:type="dxa"/>
          </w:tcPr>
          <w:p w14:paraId="0000001C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TTAATGGTGGTGGTG</w:t>
            </w:r>
            <w:r>
              <w:rPr>
                <w:rFonts w:ascii="Arial" w:eastAsia="Arial" w:hAnsi="Arial" w:cs="Arial"/>
                <w:sz w:val="16"/>
                <w:szCs w:val="16"/>
              </w:rPr>
              <w:t>GTGGTGATGATGGTGATGGC</w:t>
            </w:r>
          </w:p>
        </w:tc>
        <w:tc>
          <w:tcPr>
            <w:tcW w:w="2861" w:type="dxa"/>
            <w:vMerge/>
          </w:tcPr>
          <w:p w14:paraId="0000001D" w14:textId="77777777" w:rsidR="00FB049C" w:rsidRDefault="00F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B049C" w14:paraId="516FBC1B" w14:textId="77777777" w:rsidTr="00FB049C">
        <w:trPr>
          <w:trHeight w:val="19"/>
        </w:trPr>
        <w:tc>
          <w:tcPr>
            <w:tcW w:w="1750" w:type="dxa"/>
          </w:tcPr>
          <w:p w14:paraId="0000001E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1.2 FwpETDuetRev</w:t>
            </w:r>
          </w:p>
        </w:tc>
        <w:tc>
          <w:tcPr>
            <w:tcW w:w="5196" w:type="dxa"/>
          </w:tcPr>
          <w:p w14:paraId="0000001F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ACCTAGGCTGCTGC</w:t>
            </w:r>
          </w:p>
        </w:tc>
        <w:tc>
          <w:tcPr>
            <w:tcW w:w="2861" w:type="dxa"/>
            <w:vMerge w:val="restart"/>
          </w:tcPr>
          <w:p w14:paraId="00000020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To linearize pETDuet-1-YidC-6xHis in the MCS-2 region</w:t>
            </w:r>
          </w:p>
        </w:tc>
      </w:tr>
      <w:tr w:rsidR="00FB049C" w14:paraId="46904BDF" w14:textId="77777777" w:rsidTr="00FB049C">
        <w:trPr>
          <w:trHeight w:val="19"/>
        </w:trPr>
        <w:tc>
          <w:tcPr>
            <w:tcW w:w="1750" w:type="dxa"/>
          </w:tcPr>
          <w:p w14:paraId="00000021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1.2 RwpETDuet1</w:t>
            </w:r>
          </w:p>
        </w:tc>
        <w:tc>
          <w:tcPr>
            <w:tcW w:w="5196" w:type="dxa"/>
          </w:tcPr>
          <w:p w14:paraId="00000022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CATATGTATATCTCC</w:t>
            </w:r>
            <w:r>
              <w:rPr>
                <w:rFonts w:ascii="Arial" w:eastAsia="Arial" w:hAnsi="Arial" w:cs="Arial"/>
                <w:sz w:val="16"/>
                <w:szCs w:val="16"/>
              </w:rPr>
              <w:t>TTCTTATACTTAACTAATATAC</w:t>
            </w:r>
          </w:p>
        </w:tc>
        <w:tc>
          <w:tcPr>
            <w:tcW w:w="2861" w:type="dxa"/>
            <w:vMerge/>
          </w:tcPr>
          <w:p w14:paraId="00000023" w14:textId="77777777" w:rsidR="00FB049C" w:rsidRDefault="00F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B049C" w14:paraId="28BB91B7" w14:textId="77777777" w:rsidTr="00FB049C">
        <w:trPr>
          <w:trHeight w:val="19"/>
        </w:trPr>
        <w:tc>
          <w:tcPr>
            <w:tcW w:w="1750" w:type="dxa"/>
          </w:tcPr>
          <w:p w14:paraId="00000024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2.FwFtsH</w:t>
            </w:r>
          </w:p>
        </w:tc>
        <w:tc>
          <w:tcPr>
            <w:tcW w:w="5196" w:type="dxa"/>
          </w:tcPr>
          <w:p w14:paraId="00000025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AGTATAAGAAGGAGATATACAT</w:t>
            </w:r>
            <w:r>
              <w:rPr>
                <w:rFonts w:ascii="Arial" w:eastAsia="Arial" w:hAnsi="Arial" w:cs="Arial"/>
                <w:sz w:val="16"/>
                <w:szCs w:val="16"/>
              </w:rPr>
              <w:t>ATGGCGAAAAACCTAATACTCTGG</w:t>
            </w:r>
          </w:p>
        </w:tc>
        <w:tc>
          <w:tcPr>
            <w:tcW w:w="2861" w:type="dxa"/>
            <w:vMerge w:val="restart"/>
          </w:tcPr>
          <w:p w14:paraId="00000026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To amplify FtsH-3xStrepTagII using the pFYHC plasmid as a template</w:t>
            </w:r>
          </w:p>
        </w:tc>
      </w:tr>
      <w:tr w:rsidR="00FB049C" w14:paraId="3ED1DBF1" w14:textId="77777777" w:rsidTr="00FB049C">
        <w:trPr>
          <w:trHeight w:val="19"/>
        </w:trPr>
        <w:tc>
          <w:tcPr>
            <w:tcW w:w="1750" w:type="dxa"/>
          </w:tcPr>
          <w:p w14:paraId="00000027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2.RwFtsHRev</w:t>
            </w:r>
          </w:p>
        </w:tc>
        <w:tc>
          <w:tcPr>
            <w:tcW w:w="5196" w:type="dxa"/>
          </w:tcPr>
          <w:p w14:paraId="00000028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GTGGCAGCAGCCTAGG</w:t>
            </w:r>
            <w:r>
              <w:rPr>
                <w:rFonts w:ascii="Arial" w:eastAsia="Arial" w:hAnsi="Arial" w:cs="Arial"/>
                <w:sz w:val="16"/>
                <w:szCs w:val="16"/>
              </w:rPr>
              <w:t>TCATTTCTCGAATTGTGGATGACTCCAGGACCCGGC</w:t>
            </w:r>
          </w:p>
        </w:tc>
        <w:tc>
          <w:tcPr>
            <w:tcW w:w="2861" w:type="dxa"/>
            <w:vMerge/>
          </w:tcPr>
          <w:p w14:paraId="00000029" w14:textId="77777777" w:rsidR="00FB049C" w:rsidRDefault="00F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B049C" w14:paraId="13EF8AD0" w14:textId="77777777" w:rsidTr="00FB049C">
        <w:trPr>
          <w:trHeight w:val="19"/>
        </w:trPr>
        <w:tc>
          <w:tcPr>
            <w:tcW w:w="1750" w:type="dxa"/>
          </w:tcPr>
          <w:p w14:paraId="0000002A" w14:textId="77777777" w:rsidR="00FB049C" w:rsidRDefault="00FB049C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96" w:type="dxa"/>
          </w:tcPr>
          <w:p w14:paraId="0000002B" w14:textId="77777777" w:rsidR="00FB049C" w:rsidRDefault="00FB049C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61" w:type="dxa"/>
          </w:tcPr>
          <w:p w14:paraId="0000002C" w14:textId="77777777" w:rsidR="00FB049C" w:rsidRDefault="00FB049C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B049C" w14:paraId="67AD145E" w14:textId="77777777" w:rsidTr="00FB049C">
        <w:trPr>
          <w:trHeight w:val="19"/>
        </w:trPr>
        <w:tc>
          <w:tcPr>
            <w:tcW w:w="1750" w:type="dxa"/>
          </w:tcPr>
          <w:p w14:paraId="0000002D" w14:textId="77777777" w:rsidR="00FB049C" w:rsidRDefault="00FB049C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96" w:type="dxa"/>
          </w:tcPr>
          <w:p w14:paraId="0000002E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pRSFDuet-HflK-HflC Design</w:t>
            </w:r>
          </w:p>
        </w:tc>
        <w:tc>
          <w:tcPr>
            <w:tcW w:w="2861" w:type="dxa"/>
          </w:tcPr>
          <w:p w14:paraId="0000002F" w14:textId="77777777" w:rsidR="00FB049C" w:rsidRDefault="00FB049C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B049C" w14:paraId="75F34CF0" w14:textId="77777777" w:rsidTr="00FB049C">
        <w:trPr>
          <w:trHeight w:val="19"/>
        </w:trPr>
        <w:tc>
          <w:tcPr>
            <w:tcW w:w="1750" w:type="dxa"/>
          </w:tcPr>
          <w:p w14:paraId="00000030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3.FwpRSFDuet1</w:t>
            </w:r>
          </w:p>
        </w:tc>
        <w:tc>
          <w:tcPr>
            <w:tcW w:w="5196" w:type="dxa"/>
          </w:tcPr>
          <w:p w14:paraId="00000031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GCGGCCGCATAATGCTTAAG</w:t>
            </w:r>
          </w:p>
        </w:tc>
        <w:tc>
          <w:tcPr>
            <w:tcW w:w="2861" w:type="dxa"/>
            <w:vMerge w:val="restart"/>
          </w:tcPr>
          <w:p w14:paraId="00000032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To linearize pRSFDuet-1 in the MCS-1 region</w:t>
            </w:r>
          </w:p>
        </w:tc>
      </w:tr>
      <w:tr w:rsidR="00FB049C" w14:paraId="11DB7785" w14:textId="77777777" w:rsidTr="00FB049C">
        <w:trPr>
          <w:trHeight w:val="19"/>
        </w:trPr>
        <w:tc>
          <w:tcPr>
            <w:tcW w:w="1750" w:type="dxa"/>
          </w:tcPr>
          <w:p w14:paraId="00000033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3.RwpRSFDuet1</w:t>
            </w:r>
          </w:p>
        </w:tc>
        <w:tc>
          <w:tcPr>
            <w:tcW w:w="5196" w:type="dxa"/>
          </w:tcPr>
          <w:p w14:paraId="00000034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CATGGTATATCTCCT</w:t>
            </w:r>
            <w:r>
              <w:rPr>
                <w:rFonts w:ascii="Arial" w:eastAsia="Arial" w:hAnsi="Arial" w:cs="Arial"/>
                <w:sz w:val="16"/>
                <w:szCs w:val="16"/>
              </w:rPr>
              <w:t>TATTAAAGTTAAACAAAATTATTTC</w:t>
            </w:r>
          </w:p>
        </w:tc>
        <w:tc>
          <w:tcPr>
            <w:tcW w:w="2861" w:type="dxa"/>
            <w:vMerge/>
          </w:tcPr>
          <w:p w14:paraId="00000035" w14:textId="77777777" w:rsidR="00FB049C" w:rsidRDefault="00F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B049C" w14:paraId="2B84E530" w14:textId="77777777" w:rsidTr="00FB049C">
        <w:trPr>
          <w:trHeight w:val="19"/>
        </w:trPr>
        <w:tc>
          <w:tcPr>
            <w:tcW w:w="1750" w:type="dxa"/>
          </w:tcPr>
          <w:p w14:paraId="00000036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3.FwHflK</w:t>
            </w:r>
          </w:p>
        </w:tc>
        <w:tc>
          <w:tcPr>
            <w:tcW w:w="5196" w:type="dxa"/>
          </w:tcPr>
          <w:p w14:paraId="00000037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CTTTAATAAGGAGATATACC</w:t>
            </w:r>
            <w:r>
              <w:rPr>
                <w:rFonts w:ascii="Arial" w:eastAsia="Arial" w:hAnsi="Arial" w:cs="Arial"/>
                <w:sz w:val="16"/>
                <w:szCs w:val="16"/>
              </w:rPr>
              <w:t>ATGGCGTGGAATCAGCC</w:t>
            </w:r>
          </w:p>
        </w:tc>
        <w:tc>
          <w:tcPr>
            <w:tcW w:w="2861" w:type="dxa"/>
            <w:vMerge w:val="restart"/>
          </w:tcPr>
          <w:p w14:paraId="00000038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To amplify HflK using the pFYHC plasmid as a template</w:t>
            </w:r>
          </w:p>
        </w:tc>
      </w:tr>
      <w:tr w:rsidR="00FB049C" w14:paraId="24591AEF" w14:textId="77777777" w:rsidTr="00FB049C">
        <w:trPr>
          <w:trHeight w:val="19"/>
        </w:trPr>
        <w:tc>
          <w:tcPr>
            <w:tcW w:w="1750" w:type="dxa"/>
          </w:tcPr>
          <w:p w14:paraId="00000039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3.RwHflK</w:t>
            </w:r>
          </w:p>
        </w:tc>
        <w:tc>
          <w:tcPr>
            <w:tcW w:w="5196" w:type="dxa"/>
          </w:tcPr>
          <w:p w14:paraId="0000003A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CATTATGCGGCCGC</w:t>
            </w:r>
            <w:r>
              <w:rPr>
                <w:rFonts w:ascii="Arial" w:eastAsia="Arial" w:hAnsi="Arial" w:cs="Arial"/>
                <w:sz w:val="16"/>
                <w:szCs w:val="16"/>
              </w:rPr>
              <w:t>TTATTCCCCCTGACGCTGGTAG</w:t>
            </w:r>
          </w:p>
        </w:tc>
        <w:tc>
          <w:tcPr>
            <w:tcW w:w="2861" w:type="dxa"/>
            <w:vMerge/>
          </w:tcPr>
          <w:p w14:paraId="0000003B" w14:textId="77777777" w:rsidR="00FB049C" w:rsidRDefault="00F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B049C" w14:paraId="096B1B05" w14:textId="77777777" w:rsidTr="00FB049C">
        <w:trPr>
          <w:trHeight w:val="19"/>
        </w:trPr>
        <w:tc>
          <w:tcPr>
            <w:tcW w:w="1750" w:type="dxa"/>
          </w:tcPr>
          <w:p w14:paraId="0000003C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3.2.FwpRSFDuet2</w:t>
            </w:r>
          </w:p>
        </w:tc>
        <w:tc>
          <w:tcPr>
            <w:tcW w:w="5196" w:type="dxa"/>
          </w:tcPr>
          <w:p w14:paraId="0000003D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ACCTAGGCTGCTGCCAC</w:t>
            </w:r>
          </w:p>
        </w:tc>
        <w:tc>
          <w:tcPr>
            <w:tcW w:w="2861" w:type="dxa"/>
            <w:vMerge w:val="restart"/>
          </w:tcPr>
          <w:p w14:paraId="0000003E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To linearize pRSFDuet-HflK in the MCS-2 region</w:t>
            </w:r>
          </w:p>
        </w:tc>
      </w:tr>
      <w:tr w:rsidR="00FB049C" w14:paraId="6CF83A46" w14:textId="77777777" w:rsidTr="00FB049C">
        <w:trPr>
          <w:trHeight w:val="19"/>
        </w:trPr>
        <w:tc>
          <w:tcPr>
            <w:tcW w:w="1750" w:type="dxa"/>
          </w:tcPr>
          <w:p w14:paraId="0000003F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3.2.RwpRSFDuet2</w:t>
            </w:r>
          </w:p>
        </w:tc>
        <w:tc>
          <w:tcPr>
            <w:tcW w:w="5196" w:type="dxa"/>
          </w:tcPr>
          <w:p w14:paraId="00000040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CATATGTATATCTCC</w:t>
            </w:r>
            <w:r>
              <w:rPr>
                <w:rFonts w:ascii="Arial" w:eastAsia="Arial" w:hAnsi="Arial" w:cs="Arial"/>
                <w:sz w:val="16"/>
                <w:szCs w:val="16"/>
              </w:rPr>
              <w:t>TTCTTATACTTAACTAATATAC</w:t>
            </w:r>
          </w:p>
        </w:tc>
        <w:tc>
          <w:tcPr>
            <w:tcW w:w="2861" w:type="dxa"/>
            <w:vMerge/>
          </w:tcPr>
          <w:p w14:paraId="00000041" w14:textId="77777777" w:rsidR="00FB049C" w:rsidRDefault="00F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B049C" w14:paraId="09E076C2" w14:textId="77777777" w:rsidTr="00FB049C">
        <w:trPr>
          <w:trHeight w:val="19"/>
        </w:trPr>
        <w:tc>
          <w:tcPr>
            <w:tcW w:w="1750" w:type="dxa"/>
          </w:tcPr>
          <w:p w14:paraId="00000042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3.FwHflC</w:t>
            </w:r>
          </w:p>
        </w:tc>
        <w:tc>
          <w:tcPr>
            <w:tcW w:w="5196" w:type="dxa"/>
          </w:tcPr>
          <w:p w14:paraId="00000043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AGTATAAGAAGGAGATATACAT</w:t>
            </w:r>
            <w:r>
              <w:rPr>
                <w:rFonts w:ascii="Arial" w:eastAsia="Arial" w:hAnsi="Arial" w:cs="Arial"/>
                <w:sz w:val="16"/>
                <w:szCs w:val="16"/>
              </w:rPr>
              <w:t>ATGCGTAAGTCAGTTATCGCG</w:t>
            </w:r>
          </w:p>
        </w:tc>
        <w:tc>
          <w:tcPr>
            <w:tcW w:w="2861" w:type="dxa"/>
            <w:vMerge w:val="restart"/>
          </w:tcPr>
          <w:p w14:paraId="00000044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To amplify HflC using the pFYHC plasmid as a template</w:t>
            </w:r>
          </w:p>
        </w:tc>
      </w:tr>
      <w:tr w:rsidR="00FB049C" w14:paraId="0338B68A" w14:textId="77777777" w:rsidTr="00FB049C">
        <w:trPr>
          <w:trHeight w:val="19"/>
        </w:trPr>
        <w:tc>
          <w:tcPr>
            <w:tcW w:w="1750" w:type="dxa"/>
          </w:tcPr>
          <w:p w14:paraId="00000045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3.RwHflC</w:t>
            </w:r>
          </w:p>
        </w:tc>
        <w:tc>
          <w:tcPr>
            <w:tcW w:w="5196" w:type="dxa"/>
          </w:tcPr>
          <w:p w14:paraId="00000046" w14:textId="77777777" w:rsidR="00FB049C" w:rsidRDefault="00000000">
            <w:pPr>
              <w:spacing w:line="278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GGCAGCAGCCTAGG</w:t>
            </w:r>
            <w:r>
              <w:rPr>
                <w:rFonts w:ascii="Arial" w:eastAsia="Arial" w:hAnsi="Arial" w:cs="Arial"/>
                <w:sz w:val="16"/>
                <w:szCs w:val="16"/>
              </w:rPr>
              <w:t>TTAACGCGTTGCGGAAGTC</w:t>
            </w:r>
          </w:p>
        </w:tc>
        <w:tc>
          <w:tcPr>
            <w:tcW w:w="2861" w:type="dxa"/>
            <w:vMerge/>
          </w:tcPr>
          <w:p w14:paraId="00000047" w14:textId="77777777" w:rsidR="00FB049C" w:rsidRDefault="00F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0000048" w14:textId="1FAE7C8B" w:rsidR="00FB049C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Sup. Table 1. Primers used in</w:t>
      </w:r>
      <w:sdt>
        <w:sdtPr>
          <w:tag w:val="goog_rdk_0"/>
          <w:id w:val="1020505007"/>
        </w:sdtPr>
        <w:sdtContent/>
      </w:sdt>
      <w:sdt>
        <w:sdtPr>
          <w:tag w:val="goog_rdk_1"/>
          <w:id w:val="-1089847873"/>
        </w:sdtPr>
        <w:sdtContent/>
      </w:sdt>
      <w:r>
        <w:rPr>
          <w:rFonts w:ascii="Arial" w:eastAsia="Arial" w:hAnsi="Arial" w:cs="Arial"/>
          <w:b/>
          <w:sz w:val="22"/>
          <w:szCs w:val="22"/>
        </w:rPr>
        <w:t xml:space="preserve"> the design of the Co-T expression system.</w:t>
      </w:r>
      <w:r>
        <w:rPr>
          <w:rFonts w:ascii="Arial" w:eastAsia="Arial" w:hAnsi="Arial" w:cs="Arial"/>
          <w:sz w:val="22"/>
          <w:szCs w:val="22"/>
        </w:rPr>
        <w:t xml:space="preserve"> NEB HiFi DNA Builder was used for cloning, and the prepared plasmids were transformed into </w:t>
      </w:r>
      <w:r>
        <w:rPr>
          <w:rFonts w:ascii="Arial" w:eastAsia="Arial" w:hAnsi="Arial" w:cs="Arial"/>
          <w:i/>
          <w:sz w:val="22"/>
          <w:szCs w:val="22"/>
        </w:rPr>
        <w:t>E. coli</w:t>
      </w:r>
      <w:r>
        <w:rPr>
          <w:rFonts w:ascii="Arial" w:eastAsia="Arial" w:hAnsi="Arial" w:cs="Arial"/>
          <w:sz w:val="22"/>
          <w:szCs w:val="22"/>
        </w:rPr>
        <w:t xml:space="preserve"> NEB10B cells. The underlined sequences in the primers represent the overlapping regions used for cloning.</w:t>
      </w:r>
    </w:p>
    <w:p w14:paraId="00000049" w14:textId="77777777" w:rsidR="00FB049C" w:rsidRDefault="00FB049C"/>
    <w:p w14:paraId="0000004A" w14:textId="77777777" w:rsidR="00FB049C" w:rsidRDefault="00FB04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4B" w14:textId="77777777" w:rsidR="00FB049C" w:rsidRDefault="00FB04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4C" w14:textId="77777777" w:rsidR="00FB04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noProof/>
          <w:color w:val="000000"/>
          <w:sz w:val="22"/>
          <w:szCs w:val="22"/>
        </w:rPr>
        <w:drawing>
          <wp:inline distT="0" distB="0" distL="0" distR="0" wp14:editId="4B586813">
            <wp:extent cx="5734228" cy="4104000"/>
            <wp:effectExtent l="0" t="0" r="0" b="0"/>
            <wp:docPr id="1973070523" name="image4.png" descr="metin, ekran görüntüsü, diyagram, öykü gelişim çizgisi; kumpas; grafiğini çıkarma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etin, ekran görüntüsü, diyagram, öykü gelişim çizgisi; kumpas; grafiğini çıkarma içeren bir resim&#10;&#10;Yapay zeka tarafından oluşturulan içerik yanlış olabilir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228" cy="41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D" w14:textId="3A7C5D77" w:rsidR="00FB04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Sup. Fig. 2. SEC Purification and MS Analysis of FtsH, HflKC, and YidC Produced via the FYHC Co-T Expression System. </w:t>
      </w:r>
      <w:r>
        <w:rPr>
          <w:rFonts w:ascii="Arial" w:eastAsia="Arial" w:hAnsi="Arial" w:cs="Arial"/>
          <w:color w:val="000000"/>
          <w:sz w:val="22"/>
          <w:szCs w:val="22"/>
        </w:rPr>
        <w:t>FtsH, HflKC, and YidC proteins, expressed using the FYHC Co-T expression system and purified via Ni-NTA affinity chromatography, were further purified by size-exclusion chromatography (SEC) and analyzed by mass spectrometry (MS). Prior to Ni-NTA purification, the solubilized membrane fraction was treated with 0.25 mM DSP crosslinker. Ni-NTA fractions were concentrated using an Amicon® Ultra Centrifugal Filter (100 kDa MWCO). 3 mg/ml concentrated Ni-NTA purified fractions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were then loaded onto a Superose 6 Increase 3.2/300 column for SEC purification. The chromatography was performed using an AKTAmicro device with a flow rate of 0.05 ml/min. SEC Buffer: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20 mM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HEPES, 150 mM NaCl, 0.01% DDM, pH 8. The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C2 fraction was collected in liquid form and sent for MS analysis.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A. SEC chromatogram. B. SDS-PAGE gel. M: Marker. C. MS analysis of C2 fraction.</w:t>
      </w:r>
    </w:p>
    <w:p w14:paraId="0000004E" w14:textId="77777777" w:rsidR="00FB049C" w:rsidRDefault="00FB049C">
      <w:pPr>
        <w:jc w:val="center"/>
      </w:pPr>
    </w:p>
    <w:p w14:paraId="0000004F" w14:textId="77777777" w:rsidR="00FB049C" w:rsidRDefault="00FB049C"/>
    <w:p w14:paraId="00000050" w14:textId="77777777" w:rsidR="00FB049C" w:rsidRDefault="00000000" w:rsidP="0022005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editId="09BAEFC2">
            <wp:extent cx="5744842" cy="4068000"/>
            <wp:effectExtent l="0" t="0" r="0" b="0"/>
            <wp:docPr id="197307052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4842" cy="406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51" w14:textId="501A6556" w:rsidR="00FB049C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Sup. Fig. 3.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SDS-PAGE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Western Blot Analysis of YidC Co-purification with FtsH and HflKC. </w:t>
      </w:r>
      <w:r>
        <w:rPr>
          <w:rFonts w:ascii="Arial" w:eastAsia="Arial" w:hAnsi="Arial" w:cs="Arial"/>
          <w:color w:val="000000"/>
          <w:sz w:val="22"/>
          <w:szCs w:val="22"/>
        </w:rPr>
        <w:t>Expressions of FtsH, YidC, and HflKC proteins were carried out using FYHC co-T (panels A-C) and pFYHC (panel D) expression systems. Membrane proteins were purified using either Ni-NTA (panels A, B) or Strep-Tactin (C,D) affinity purification. In the crosslinker (+) condition (panel B), membranes were treated with 0.25 mM DSP, followed by Ni-NTA purification. For others, no crosslinker was used. Appropriate HRP-conjugated antibodies for the protein tags (e.g., anti-His, anti-Strep, anti-Flag) were used for Western Blot analysis. Samples; M: Marker, SM: Solubilized Membrane, F: Flow, W: Wash, E(Number): Elution.</w:t>
      </w:r>
    </w:p>
    <w:p w14:paraId="00000052" w14:textId="7068FF0E" w:rsidR="00220057" w:rsidRDefault="00220057">
      <w:r>
        <w:br w:type="page"/>
      </w:r>
    </w:p>
    <w:p w14:paraId="070DBB65" w14:textId="4A636397" w:rsidR="00FB049C" w:rsidRDefault="00220057">
      <w:pPr>
        <w:jc w:val="center"/>
      </w:pPr>
      <w:r>
        <w:rPr>
          <w:noProof/>
        </w:rPr>
        <w:lastRenderedPageBreak/>
        <w:drawing>
          <wp:inline distT="0" distB="0" distL="0" distR="0" wp14:anchorId="61F0713E" wp14:editId="647F0A84">
            <wp:extent cx="5760720" cy="2522855"/>
            <wp:effectExtent l="0" t="0" r="5080" b="0"/>
            <wp:docPr id="621713145" name="Resim 1" descr="ekran görüntüsü, öykü gelişim çizgisi; kumpas; grafiğini çıkarma, çizgi, meti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13145" name="Resim 1" descr="ekran görüntüsü, öykü gelişim çizgisi; kumpas; grafiğini çıkarma, çizgi, metin içeren bir resim&#10;&#10;Yapay zeka tarafından oluşturulmuş içerik yanlış olabilir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3" w14:textId="2ACF5143" w:rsidR="00FB04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Sup. Fig. 4.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SEC Purification of FtsH, HflKC, and YidC Produced via the FYHC Co-T Expression System. </w:t>
      </w:r>
      <w:r>
        <w:rPr>
          <w:rFonts w:ascii="Arial" w:eastAsia="Arial" w:hAnsi="Arial" w:cs="Arial"/>
          <w:color w:val="000000"/>
          <w:sz w:val="22"/>
          <w:szCs w:val="22"/>
        </w:rPr>
        <w:t>Ni-NTA fractions (Supp. Fig.3D) were concentrated using an Amicon® Ultra Centrifugal Filter (100 kDa MWCO). 6 mg/ml concentrated Ni-NTA purified fractions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were then loaded onto a Superose 6 Increase 3.2/300 column for SEC purification. The chromatography was performed using an AKTAmicro device with a flow rate of 0.05 ml/min. SEC Buffer</w:t>
      </w:r>
      <w:r>
        <w:rPr>
          <w:rFonts w:ascii="Arial" w:eastAsia="Arial" w:hAnsi="Arial" w:cs="Arial"/>
          <w:b/>
          <w:color w:val="000000"/>
          <w:sz w:val="22"/>
          <w:szCs w:val="22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20 mM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HEPES, 150 mM NaCl, 0.01% DDM, pH 8. SEC fractions from the peak loaded to gel.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A. SEC chromatogram. B. SDS-PAGE gel. M: Marker. B1-C8 are SEC fractions.</w:t>
      </w:r>
    </w:p>
    <w:p w14:paraId="00000054" w14:textId="77777777" w:rsidR="00FB049C" w:rsidRDefault="00FB049C">
      <w:pPr>
        <w:rPr>
          <w:rFonts w:ascii="Arial" w:eastAsia="Arial" w:hAnsi="Arial" w:cs="Arial"/>
          <w:sz w:val="22"/>
          <w:szCs w:val="22"/>
        </w:rPr>
      </w:pPr>
    </w:p>
    <w:p w14:paraId="00000055" w14:textId="77777777" w:rsidR="00FB049C" w:rsidRDefault="00FB049C">
      <w:pPr>
        <w:jc w:val="center"/>
      </w:pPr>
    </w:p>
    <w:sectPr w:rsidR="00FB049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2D3D91A4-8F83-F142-8CD9-6A78084F508B}"/>
    <w:embedBold r:id="rId2" w:fontKey="{B97C664A-E00E-D146-AFF0-3EEDE64F7B08}"/>
    <w:embedItalic r:id="rId3" w:fontKey="{35F54E0F-1FC0-2E48-963A-BFCA6F7C88C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26BD73C5-013E-164C-B00F-22A6791F17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9B55D30-540A-9248-984C-2FD9EB686B76}"/>
    <w:embedBold r:id="rId6" w:fontKey="{EC58ABD3-841A-0549-9591-D9AECDC07BED}"/>
    <w:embedItalic r:id="rId7" w:fontKey="{773504CE-B174-3A41-AC9C-064C9F3BFB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EEA64A0-5F95-BE42-880B-8FDCB9A2A837}"/>
    <w:embedBold r:id="rId9" w:fontKey="{1D2D8632-068E-D845-9B6A-A8B709E218FE}"/>
    <w:embedItalic r:id="rId10" w:fontKey="{CBD6BE0E-0A19-634E-A94E-ECBAB2B632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49C"/>
    <w:rsid w:val="00220057"/>
    <w:rsid w:val="007A410A"/>
    <w:rsid w:val="00C16B63"/>
    <w:rsid w:val="00FB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6BB145"/>
  <w15:docId w15:val="{51FC7157-0254-864F-81CD-1C6C638C8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tr-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34C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34C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34C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34C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34C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34C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34C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34C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34C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rsid w:val="00D34C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1Char">
    <w:name w:val="Başlık 1 Char"/>
    <w:basedOn w:val="VarsaylanParagrafYazTipi"/>
    <w:link w:val="Balk1"/>
    <w:uiPriority w:val="9"/>
    <w:rsid w:val="00D34C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34C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34C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34C9D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34C9D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34C9D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34C9D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34C9D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34C9D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34C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Pr>
      <w:color w:val="595959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34C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34C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34C9D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34C9D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34C9D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34C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34C9D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34C9D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903B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903B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Vurgu">
    <w:name w:val="Emphasis"/>
    <w:basedOn w:val="VarsaylanParagrafYazTipi"/>
    <w:uiPriority w:val="20"/>
    <w:qFormat/>
    <w:rsid w:val="008F09E8"/>
    <w:rPr>
      <w:i/>
      <w:iCs/>
    </w:rPr>
  </w:style>
  <w:style w:type="paragraph" w:styleId="NormalWeb">
    <w:name w:val="Normal (Web)"/>
    <w:basedOn w:val="Normal"/>
    <w:uiPriority w:val="99"/>
    <w:unhideWhenUsed/>
    <w:rsid w:val="00927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9271DD"/>
    <w:rPr>
      <w:b/>
      <w:bCs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AklamaMetni">
    <w:name w:val="annotation text"/>
    <w:basedOn w:val="Normal"/>
    <w:link w:val="AklamaMetni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Pr>
      <w:sz w:val="20"/>
      <w:szCs w:val="20"/>
    </w:rPr>
  </w:style>
  <w:style w:type="character" w:styleId="AklamaBavurusu">
    <w:name w:val="annotation reference"/>
    <w:basedOn w:val="VarsaylanParagrafYazTipi"/>
    <w:uiPriority w:val="99"/>
    <w:semiHidden/>
    <w:unhideWhenUsed/>
    <w:rPr>
      <w:sz w:val="16"/>
      <w:szCs w:val="16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h5vZGfmbI4klsMvDxtWK65b6sQ==">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708</Words>
  <Characters>4037</Characters>
  <Application>Microsoft Office Word</Application>
  <DocSecurity>0</DocSecurity>
  <Lines>33</Lines>
  <Paragraphs>9</Paragraphs>
  <ScaleCrop>false</ScaleCrop>
  <Company/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 Caliseki</dc:creator>
  <cp:lastModifiedBy>Mehmet Caliseki</cp:lastModifiedBy>
  <cp:revision>3</cp:revision>
  <dcterms:created xsi:type="dcterms:W3CDTF">2025-06-04T10:35:00Z</dcterms:created>
  <dcterms:modified xsi:type="dcterms:W3CDTF">2025-06-04T10:44:00Z</dcterms:modified>
</cp:coreProperties>
</file>