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25B6" w:rsidRPr="000657A7" w:rsidRDefault="00EE25B6" w:rsidP="00EE25B6">
      <w:pPr>
        <w:pStyle w:val="Heading1"/>
        <w:numPr>
          <w:ilvl w:val="0"/>
          <w:numId w:val="1"/>
        </w:numPr>
        <w:spacing w:line="480" w:lineRule="auto"/>
        <w:jc w:val="both"/>
        <w:rPr>
          <w:rFonts w:asciiTheme="minorHAnsi" w:hAnsiTheme="minorHAnsi" w:cstheme="minorHAnsi"/>
          <w:b/>
          <w:color w:val="000000" w:themeColor="text1"/>
          <w:sz w:val="28"/>
          <w:szCs w:val="28"/>
        </w:rPr>
      </w:pPr>
      <w:r w:rsidRPr="000657A7">
        <w:rPr>
          <w:rFonts w:asciiTheme="minorHAnsi" w:hAnsiTheme="minorHAnsi" w:cstheme="minorHAnsi"/>
          <w:b/>
          <w:color w:val="000000" w:themeColor="text1"/>
          <w:sz w:val="28"/>
          <w:szCs w:val="28"/>
        </w:rPr>
        <w:t xml:space="preserve">Supplementary Material </w:t>
      </w:r>
    </w:p>
    <w:p w:rsidR="00EE25B6" w:rsidRPr="006E2EDD" w:rsidRDefault="00EE25B6" w:rsidP="00EE25B6">
      <w:pPr>
        <w:pStyle w:val="ListParagraph"/>
        <w:numPr>
          <w:ilvl w:val="1"/>
          <w:numId w:val="1"/>
        </w:numPr>
        <w:spacing w:line="480" w:lineRule="auto"/>
        <w:jc w:val="both"/>
        <w:rPr>
          <w:rFonts w:asciiTheme="minorHAnsi" w:hAnsiTheme="minorHAnsi" w:cstheme="minorHAnsi"/>
          <w:b/>
          <w:bCs/>
          <w:sz w:val="22"/>
          <w:szCs w:val="22"/>
        </w:rPr>
      </w:pPr>
      <w:r w:rsidRPr="006E2EDD">
        <w:rPr>
          <w:rFonts w:asciiTheme="minorHAnsi" w:hAnsiTheme="minorHAnsi" w:cstheme="minorHAnsi"/>
          <w:b/>
          <w:bCs/>
          <w:sz w:val="22"/>
          <w:szCs w:val="22"/>
        </w:rPr>
        <w:t>Model selection procedure across multiple imputed datasets</w:t>
      </w:r>
    </w:p>
    <w:p w:rsidR="00EE25B6" w:rsidRDefault="00EE25B6" w:rsidP="00EE25B6">
      <w:pPr>
        <w:spacing w:line="480" w:lineRule="auto"/>
        <w:ind w:firstLine="708"/>
        <w:jc w:val="both"/>
        <w:rPr>
          <w:rFonts w:asciiTheme="minorHAnsi" w:hAnsiTheme="minorHAnsi" w:cstheme="minorHAnsi"/>
          <w:sz w:val="22"/>
          <w:szCs w:val="22"/>
          <w:shd w:val="clear" w:color="auto" w:fill="FFFFFF"/>
        </w:rPr>
      </w:pPr>
      <w:r w:rsidRPr="00773747">
        <w:rPr>
          <w:rFonts w:asciiTheme="minorHAnsi" w:hAnsiTheme="minorHAnsi" w:cstheme="minorHAnsi"/>
          <w:sz w:val="22"/>
          <w:szCs w:val="22"/>
        </w:rPr>
        <w:t xml:space="preserve">Model selection was incorporated in the </w:t>
      </w:r>
      <w:r w:rsidRPr="00773747">
        <w:rPr>
          <w:rFonts w:asciiTheme="minorHAnsi" w:hAnsiTheme="minorHAnsi" w:cstheme="minorHAnsi"/>
          <w:i/>
          <w:iCs/>
          <w:sz w:val="22"/>
          <w:szCs w:val="22"/>
        </w:rPr>
        <w:t>m</w:t>
      </w:r>
      <w:r w:rsidRPr="00773747">
        <w:rPr>
          <w:rFonts w:asciiTheme="minorHAnsi" w:hAnsiTheme="minorHAnsi" w:cstheme="minorHAnsi"/>
          <w:sz w:val="22"/>
          <w:szCs w:val="22"/>
        </w:rPr>
        <w:t xml:space="preserve"> multiple imputed (MI) and complete datasets by the MICE algorithm. </w:t>
      </w:r>
      <w:r>
        <w:rPr>
          <w:rFonts w:asciiTheme="minorHAnsi" w:hAnsiTheme="minorHAnsi" w:cstheme="minorHAnsi"/>
          <w:sz w:val="22"/>
          <w:szCs w:val="22"/>
        </w:rPr>
        <w:t>M</w:t>
      </w:r>
      <w:r w:rsidRPr="00773747">
        <w:rPr>
          <w:rFonts w:asciiTheme="minorHAnsi" w:hAnsiTheme="minorHAnsi" w:cstheme="minorHAnsi"/>
          <w:sz w:val="22"/>
          <w:szCs w:val="22"/>
        </w:rPr>
        <w:t>odel selection was done on each MI dataset</w:t>
      </w:r>
      <w:r>
        <w:rPr>
          <w:rFonts w:asciiTheme="minorHAnsi" w:hAnsiTheme="minorHAnsi" w:cstheme="minorHAnsi"/>
          <w:sz w:val="22"/>
          <w:szCs w:val="22"/>
        </w:rPr>
        <w:t xml:space="preserve"> separately</w:t>
      </w:r>
      <w:r w:rsidRPr="00773747">
        <w:rPr>
          <w:rFonts w:asciiTheme="minorHAnsi" w:hAnsiTheme="minorHAnsi" w:cstheme="minorHAnsi"/>
          <w:sz w:val="22"/>
          <w:szCs w:val="22"/>
        </w:rPr>
        <w:t xml:space="preserve"> by means of backwards selection</w:t>
      </w:r>
      <w:r>
        <w:rPr>
          <w:rFonts w:asciiTheme="minorHAnsi" w:hAnsiTheme="minorHAnsi" w:cstheme="minorHAnsi"/>
          <w:sz w:val="22"/>
          <w:szCs w:val="22"/>
        </w:rPr>
        <w:t xml:space="preserve"> for</w:t>
      </w:r>
      <w:r w:rsidRPr="00773747">
        <w:rPr>
          <w:rFonts w:asciiTheme="minorHAnsi" w:hAnsiTheme="minorHAnsi" w:cstheme="minorHAnsi"/>
          <w:sz w:val="22"/>
          <w:szCs w:val="22"/>
        </w:rPr>
        <w:t xml:space="preserve"> multiple linear regression </w:t>
      </w:r>
      <w:r>
        <w:rPr>
          <w:rFonts w:asciiTheme="minorHAnsi" w:hAnsiTheme="minorHAnsi" w:cstheme="minorHAnsi"/>
          <w:sz w:val="22"/>
          <w:szCs w:val="22"/>
        </w:rPr>
        <w:t xml:space="preserve">and </w:t>
      </w:r>
      <w:r w:rsidRPr="00773747">
        <w:rPr>
          <w:rFonts w:asciiTheme="minorHAnsi" w:hAnsiTheme="minorHAnsi" w:cstheme="minorHAnsi"/>
          <w:sz w:val="22"/>
          <w:szCs w:val="22"/>
        </w:rPr>
        <w:t xml:space="preserve">based on two stopping rules – namely a significance level of p&lt;0.10 and AIC </w:t>
      </w:r>
      <w:r w:rsidRPr="00773747">
        <w:rPr>
          <w:rFonts w:asciiTheme="minorHAnsi" w:hAnsiTheme="minorHAnsi" w:cstheme="minorHAnsi"/>
          <w:sz w:val="22"/>
          <w:szCs w:val="22"/>
        </w:rPr>
        <w:fldChar w:fldCharType="begin"/>
      </w:r>
      <w:r>
        <w:rPr>
          <w:rFonts w:asciiTheme="minorHAnsi" w:hAnsiTheme="minorHAnsi" w:cstheme="minorHAnsi"/>
          <w:sz w:val="22"/>
          <w:szCs w:val="22"/>
        </w:rPr>
        <w:instrText xml:space="preserve"> ADDIN ZOTERO_ITEM CSL_CITATION {"citationID":"hIDpgF2n","properties":{"formattedCitation":"(29\\uc0\\u8211{}31)","plainCitation":"(29–31)","noteIndex":0},"citationItems":[{"id":63,"uris":["http://zotero.org/users/local/zpJiQmLR/items/5ZWNXSVA"],"uri":["http://zotero.org/users/local/zpJiQmLR/items/5ZWNXSVA"],"itemData":{"id":63,"type":"book","abstract":"Flexible Imputation of Missing Data, Second Edition","edition":"Second Edition","publisher":"Chapman &amp; Hall/CRC","source":"stefvanbuuren.name","title":"Flexible Imputation of Missing data","title-short":"https","URL":"https://stefvanbuuren.name/fimd/","author":[{"family":"Buuren","given":"Stef","non-dropping-particle":"van"}],"accessed":{"date-parts":[["2021",4,30]]},"issued":{"date-parts":[["2018"]]}}},{"id":100,"uris":["http://zotero.org/users/local/zpJiQmLR/items/3D4BVD8H"],"uri":["http://zotero.org/users/local/zpJiQmLR/items/3D4BVD8H"],"itemData":{"id":100,"type":"chapter","abstract":"In this paper it is shown that the classical maximum likelihood principle can be considered to be a method of asymptotic realization of an optimum estimate with respect to a very general information theoretic criterion. This observation shows an extension of the principle to provide answers to many practical problems of statistical model fitting.","collection-title":"Springer Series in Statistics","container-title":"Selected Papers of Hirotugu Akaike","event-place":"New York, NY","ISBN":"978-1-4612-1694-0","language":"en","note":"DOI: 10.1007/978-1-4612-1694-0_15","page":"199-213","publisher":"Springer","publisher-place":"New York, NY","source":"Springer Link","title":"Information Theory and an Extension of the Maximum Likelihood Principle","URL":"https://doi.org/10.1007/978-1-4612-1694-0_15","author":[{"family":"Akaike","given":"Hirotogu"}],"editor":[{"family":"Parzen","given":"Emanuel"},{"family":"Tanabe","given":"Kunio"},{"family":"Kitagawa","given":"Genshiro"}],"accessed":{"date-parts":[["2021",4,30]]},"issued":{"date-parts":[["1998"]]}}},{"id":58,"uris":["http://zotero.org/users/local/zpJiQmLR/items/SL53GIVC"],"uri":["http://zotero.org/users/local/zpJiQmLR/items/SL53GIVC"],"itemData":{"id":58,"type":"article-journal","abstract":"Clinical prediction models are used frequently in clinical practice to identify patients who are at risk of developing an adverse outcome so that preventive measures can be initiated. A prediction model can be developed in a number of ways; however, an appropriate variable selection strategy needs to be followed in all cases. Our purpose is to introduce readers to the concept of variable selection in prediction modelling, including the importance of variable selection and variable reduction strategies. We will discuss the various variable selection techniques that can be applied during prediction model building (backward elimination, forward selection, stepwise selection and all possible subset selection), and the stopping rule/selection criteria in variable selection (p values, Akaike information criterion, Bayesian information criterion and Mallows' Cp statistic). This paper focuses on the importance of including appropriate variables, following the proper steps, and adopting the proper methods when selecting variables for prediction models.","container-title":"Family Medicine and Community Health","DOI":"10.1136/fmch-2019-000262","ISSN":"2305-6983","issue":"1","journalAbbreviation":"Fam Med Community Health","language":"eng","note":"PMID: 32148735\nPMCID: PMC7032893","page":"e000262","source":"PubMed","title":"Variable selection strategies and its importance in clinical prediction modelling","volume":"8","author":[{"family":"Chowdhury","given":"Mohammad Ziaul Islam"},{"family":"Turin","given":"Tanvir C."}],"issued":{"date-parts":[["2020"]]}}}],"schema":"https://github.com/citation-style-language/schema/raw/master/csl-citation.json"} </w:instrText>
      </w:r>
      <w:r w:rsidRPr="00773747">
        <w:rPr>
          <w:rFonts w:asciiTheme="minorHAnsi" w:hAnsiTheme="minorHAnsi" w:cstheme="minorHAnsi"/>
          <w:sz w:val="22"/>
          <w:szCs w:val="22"/>
        </w:rPr>
        <w:fldChar w:fldCharType="separate"/>
      </w:r>
      <w:r w:rsidRPr="00773747">
        <w:rPr>
          <w:rFonts w:asciiTheme="minorHAnsi" w:hAnsiTheme="minorHAnsi" w:cstheme="minorHAnsi"/>
          <w:sz w:val="22"/>
          <w:szCs w:val="22"/>
        </w:rPr>
        <w:t>(29–31)</w:t>
      </w:r>
      <w:r w:rsidRPr="00773747">
        <w:rPr>
          <w:rFonts w:asciiTheme="minorHAnsi" w:hAnsiTheme="minorHAnsi" w:cstheme="minorHAnsi"/>
          <w:sz w:val="22"/>
          <w:szCs w:val="22"/>
        </w:rPr>
        <w:fldChar w:fldCharType="end"/>
      </w:r>
      <w:r w:rsidRPr="00773747">
        <w:rPr>
          <w:rFonts w:asciiTheme="minorHAnsi" w:hAnsiTheme="minorHAnsi" w:cstheme="minorHAnsi"/>
          <w:sz w:val="22"/>
          <w:szCs w:val="22"/>
        </w:rPr>
        <w:t xml:space="preserve">. </w:t>
      </w:r>
      <w:r>
        <w:rPr>
          <w:rFonts w:asciiTheme="minorHAnsi" w:hAnsiTheme="minorHAnsi" w:cstheme="minorHAnsi"/>
          <w:sz w:val="22"/>
          <w:szCs w:val="22"/>
        </w:rPr>
        <w:t>Additionally</w:t>
      </w:r>
      <w:r w:rsidRPr="00773747">
        <w:rPr>
          <w:rFonts w:asciiTheme="minorHAnsi" w:hAnsiTheme="minorHAnsi" w:cstheme="minorHAnsi"/>
          <w:sz w:val="22"/>
          <w:szCs w:val="22"/>
        </w:rPr>
        <w:t xml:space="preserve">, a majority rule is applied. </w:t>
      </w:r>
      <w:r>
        <w:rPr>
          <w:rFonts w:asciiTheme="minorHAnsi" w:hAnsiTheme="minorHAnsi" w:cstheme="minorHAnsi"/>
          <w:sz w:val="22"/>
          <w:szCs w:val="22"/>
        </w:rPr>
        <w:t>More specifically, p</w:t>
      </w:r>
      <w:r w:rsidRPr="00773747">
        <w:rPr>
          <w:rFonts w:asciiTheme="minorHAnsi" w:hAnsiTheme="minorHAnsi" w:cstheme="minorHAnsi"/>
          <w:sz w:val="22"/>
          <w:szCs w:val="22"/>
        </w:rPr>
        <w:t xml:space="preserve">redictors </w:t>
      </w:r>
      <w:r>
        <w:rPr>
          <w:rFonts w:asciiTheme="minorHAnsi" w:hAnsiTheme="minorHAnsi" w:cstheme="minorHAnsi"/>
          <w:sz w:val="22"/>
          <w:szCs w:val="22"/>
        </w:rPr>
        <w:t>were</w:t>
      </w:r>
      <w:r w:rsidRPr="00773747">
        <w:rPr>
          <w:rFonts w:asciiTheme="minorHAnsi" w:hAnsiTheme="minorHAnsi" w:cstheme="minorHAnsi"/>
          <w:sz w:val="22"/>
          <w:szCs w:val="22"/>
        </w:rPr>
        <w:t xml:space="preserve"> included in the final model when they </w:t>
      </w:r>
      <w:r>
        <w:rPr>
          <w:rFonts w:asciiTheme="minorHAnsi" w:hAnsiTheme="minorHAnsi" w:cstheme="minorHAnsi"/>
          <w:sz w:val="22"/>
          <w:szCs w:val="22"/>
        </w:rPr>
        <w:t>were</w:t>
      </w:r>
      <w:r w:rsidRPr="00773747">
        <w:rPr>
          <w:rFonts w:asciiTheme="minorHAnsi" w:hAnsiTheme="minorHAnsi" w:cstheme="minorHAnsi"/>
          <w:sz w:val="22"/>
          <w:szCs w:val="22"/>
        </w:rPr>
        <w:t xml:space="preserve"> selected in at least 50% of the intermediate models across all MI datasets. Thereby, the majority rule is used as a variable importance measure by excluding variables that have a low selection probability and including </w:t>
      </w:r>
      <w:r>
        <w:rPr>
          <w:rFonts w:asciiTheme="minorHAnsi" w:hAnsiTheme="minorHAnsi" w:cstheme="minorHAnsi"/>
          <w:sz w:val="22"/>
          <w:szCs w:val="22"/>
        </w:rPr>
        <w:t xml:space="preserve">those </w:t>
      </w:r>
      <w:r w:rsidRPr="00773747">
        <w:rPr>
          <w:rFonts w:asciiTheme="minorHAnsi" w:hAnsiTheme="minorHAnsi" w:cstheme="minorHAnsi"/>
          <w:sz w:val="22"/>
          <w:szCs w:val="22"/>
        </w:rPr>
        <w:t xml:space="preserve">variables with a high selection probability. Accordingly, variables with a probability of &lt;0.4 were considered as </w:t>
      </w:r>
      <w:r>
        <w:rPr>
          <w:rFonts w:asciiTheme="minorHAnsi" w:hAnsiTheme="minorHAnsi" w:cstheme="minorHAnsi"/>
          <w:sz w:val="22"/>
          <w:szCs w:val="22"/>
        </w:rPr>
        <w:t xml:space="preserve">having a </w:t>
      </w:r>
      <w:r w:rsidRPr="00773747">
        <w:rPr>
          <w:rFonts w:asciiTheme="minorHAnsi" w:hAnsiTheme="minorHAnsi" w:cstheme="minorHAnsi"/>
          <w:sz w:val="22"/>
          <w:szCs w:val="22"/>
        </w:rPr>
        <w:t xml:space="preserve">low selection probability, variables with a probability of </w:t>
      </w:r>
      <w:r w:rsidRPr="00773747">
        <w:rPr>
          <w:rFonts w:asciiTheme="minorHAnsi" w:hAnsiTheme="minorHAnsi" w:cstheme="minorHAnsi"/>
          <w:sz w:val="22"/>
          <w:szCs w:val="22"/>
          <w:shd w:val="clear" w:color="auto" w:fill="FFFFFF"/>
        </w:rPr>
        <w:t xml:space="preserve">≥0.4 and </w:t>
      </w:r>
      <w:r>
        <w:rPr>
          <w:rFonts w:asciiTheme="minorHAnsi" w:hAnsiTheme="minorHAnsi" w:cstheme="minorHAnsi"/>
          <w:sz w:val="22"/>
          <w:szCs w:val="22"/>
          <w:shd w:val="clear" w:color="auto" w:fill="FFFFFF"/>
        </w:rPr>
        <w:t xml:space="preserve">&lt;0.6 were considered as having an intermediate selection probability, and variables with a probability of </w:t>
      </w:r>
      <w:r w:rsidRPr="00773747">
        <w:rPr>
          <w:rFonts w:asciiTheme="minorHAnsi" w:hAnsiTheme="minorHAnsi" w:cstheme="minorHAnsi"/>
          <w:sz w:val="22"/>
          <w:szCs w:val="22"/>
          <w:shd w:val="clear" w:color="auto" w:fill="FFFFFF"/>
        </w:rPr>
        <w:t>≥0.</w:t>
      </w:r>
      <w:r>
        <w:rPr>
          <w:rFonts w:asciiTheme="minorHAnsi" w:hAnsiTheme="minorHAnsi" w:cstheme="minorHAnsi"/>
          <w:sz w:val="22"/>
          <w:szCs w:val="22"/>
          <w:shd w:val="clear" w:color="auto" w:fill="FFFFFF"/>
        </w:rPr>
        <w:t xml:space="preserve">6 were considered as variables with a high selection probability. Inherently, this method prevents unimportant variables, with a selection probability of &lt;0.4, to be included in the model and operates as a correction for multiple testing and inflation of the (family-wise) Type I error </w:t>
      </w:r>
      <w:r>
        <w:rPr>
          <w:rFonts w:asciiTheme="minorHAnsi" w:hAnsiTheme="minorHAnsi" w:cstheme="minorHAnsi"/>
          <w:sz w:val="22"/>
          <w:szCs w:val="22"/>
          <w:shd w:val="clear" w:color="auto" w:fill="FFFFFF"/>
        </w:rPr>
        <w:fldChar w:fldCharType="begin"/>
      </w:r>
      <w:r>
        <w:rPr>
          <w:rFonts w:asciiTheme="minorHAnsi" w:hAnsiTheme="minorHAnsi" w:cstheme="minorHAnsi"/>
          <w:sz w:val="22"/>
          <w:szCs w:val="22"/>
          <w:shd w:val="clear" w:color="auto" w:fill="FFFFFF"/>
        </w:rPr>
        <w:instrText xml:space="preserve"> ADDIN ZOTERO_ITEM CSL_CITATION {"citationID":"8y6ViQni","properties":{"formattedCitation":"(29)","plainCitation":"(29)","noteIndex":0},"citationItems":[{"id":63,"uris":["http://zotero.org/users/local/zpJiQmLR/items/5ZWNXSVA"],"uri":["http://zotero.org/users/local/zpJiQmLR/items/5ZWNXSVA"],"itemData":{"id":63,"type":"book","abstract":"Flexible Imputation of Missing Data, Second Edition","edition":"Second Edition","publisher":"Chapman &amp; Hall/CRC","source":"stefvanbuuren.name","title":"Flexible Imputation of Missing data","title-short":"https","URL":"https://stefvanbuuren.name/fimd/","author":[{"family":"Buuren","given":"Stef","non-dropping-particle":"van"}],"accessed":{"date-parts":[["2021",4,30]]},"issued":{"date-parts":[["2018"]]}}}],"schema":"https://github.com/citation-style-language/schema/raw/master/csl-citation.json"} </w:instrText>
      </w:r>
      <w:r>
        <w:rPr>
          <w:rFonts w:asciiTheme="minorHAnsi" w:hAnsiTheme="minorHAnsi" w:cstheme="minorHAnsi"/>
          <w:sz w:val="22"/>
          <w:szCs w:val="22"/>
          <w:shd w:val="clear" w:color="auto" w:fill="FFFFFF"/>
        </w:rPr>
        <w:fldChar w:fldCharType="separate"/>
      </w:r>
      <w:r>
        <w:rPr>
          <w:rFonts w:asciiTheme="minorHAnsi" w:hAnsiTheme="minorHAnsi" w:cstheme="minorHAnsi"/>
          <w:noProof/>
          <w:sz w:val="22"/>
          <w:szCs w:val="22"/>
          <w:shd w:val="clear" w:color="auto" w:fill="FFFFFF"/>
        </w:rPr>
        <w:t>(29)</w:t>
      </w:r>
      <w:r>
        <w:rPr>
          <w:rFonts w:asciiTheme="minorHAnsi" w:hAnsiTheme="minorHAnsi" w:cstheme="minorHAnsi"/>
          <w:sz w:val="22"/>
          <w:szCs w:val="22"/>
          <w:shd w:val="clear" w:color="auto" w:fill="FFFFFF"/>
        </w:rPr>
        <w:fldChar w:fldCharType="end"/>
      </w:r>
      <w:r>
        <w:rPr>
          <w:rFonts w:asciiTheme="minorHAnsi" w:hAnsiTheme="minorHAnsi" w:cstheme="minorHAnsi"/>
          <w:sz w:val="22"/>
          <w:szCs w:val="22"/>
          <w:shd w:val="clear" w:color="auto" w:fill="FFFFFF"/>
        </w:rPr>
        <w:t xml:space="preserve">. </w:t>
      </w:r>
    </w:p>
    <w:p w:rsidR="00EE25B6" w:rsidRPr="00773747" w:rsidRDefault="00EE25B6" w:rsidP="00EE25B6">
      <w:pPr>
        <w:spacing w:line="480" w:lineRule="auto"/>
        <w:ind w:firstLine="708"/>
        <w:jc w:val="both"/>
        <w:rPr>
          <w:rFonts w:asciiTheme="minorHAnsi" w:hAnsiTheme="minorHAnsi" w:cstheme="minorHAnsi"/>
          <w:sz w:val="22"/>
          <w:szCs w:val="22"/>
        </w:rPr>
      </w:pPr>
    </w:p>
    <w:p w:rsidR="00EE25B6" w:rsidRPr="0077621C" w:rsidRDefault="00EE25B6" w:rsidP="00EE25B6">
      <w:pPr>
        <w:spacing w:line="480" w:lineRule="auto"/>
        <w:ind w:firstLine="708"/>
        <w:jc w:val="both"/>
        <w:rPr>
          <w:rFonts w:asciiTheme="minorHAnsi" w:hAnsiTheme="minorHAnsi" w:cstheme="minorHAnsi"/>
          <w:sz w:val="22"/>
          <w:szCs w:val="22"/>
          <w:shd w:val="clear" w:color="auto" w:fill="FFFFFF"/>
        </w:rPr>
      </w:pPr>
      <w:r w:rsidRPr="00173716">
        <w:rPr>
          <w:rFonts w:asciiTheme="minorHAnsi" w:hAnsiTheme="minorHAnsi" w:cstheme="minorHAnsi"/>
          <w:sz w:val="22"/>
          <w:szCs w:val="22"/>
        </w:rPr>
        <w:t xml:space="preserve">Although </w:t>
      </w:r>
      <w:r>
        <w:rPr>
          <w:rFonts w:asciiTheme="minorHAnsi" w:hAnsiTheme="minorHAnsi" w:cstheme="minorHAnsi"/>
          <w:sz w:val="22"/>
          <w:szCs w:val="22"/>
        </w:rPr>
        <w:t xml:space="preserve">the </w:t>
      </w:r>
      <w:r w:rsidRPr="00173716">
        <w:rPr>
          <w:rFonts w:asciiTheme="minorHAnsi" w:hAnsiTheme="minorHAnsi" w:cstheme="minorHAnsi"/>
          <w:sz w:val="22"/>
          <w:szCs w:val="22"/>
        </w:rPr>
        <w:t xml:space="preserve">majority rule </w:t>
      </w:r>
      <w:r>
        <w:rPr>
          <w:rFonts w:asciiTheme="minorHAnsi" w:hAnsiTheme="minorHAnsi" w:cstheme="minorHAnsi"/>
          <w:sz w:val="22"/>
          <w:szCs w:val="22"/>
        </w:rPr>
        <w:t>provides</w:t>
      </w:r>
      <w:r w:rsidRPr="00173716">
        <w:rPr>
          <w:rFonts w:asciiTheme="minorHAnsi" w:hAnsiTheme="minorHAnsi" w:cstheme="minorHAnsi"/>
          <w:sz w:val="22"/>
          <w:szCs w:val="22"/>
        </w:rPr>
        <w:t xml:space="preserve"> insight in the variability of models between the imputed datasets, it is a method</w:t>
      </w:r>
      <w:r>
        <w:rPr>
          <w:rFonts w:asciiTheme="minorHAnsi" w:hAnsiTheme="minorHAnsi" w:cstheme="minorHAnsi"/>
          <w:sz w:val="22"/>
          <w:szCs w:val="22"/>
        </w:rPr>
        <w:t xml:space="preserve"> that</w:t>
      </w:r>
      <w:r w:rsidRPr="00173716">
        <w:rPr>
          <w:rFonts w:asciiTheme="minorHAnsi" w:hAnsiTheme="minorHAnsi" w:cstheme="minorHAnsi"/>
          <w:sz w:val="22"/>
          <w:szCs w:val="22"/>
        </w:rPr>
        <w:t xml:space="preserve"> does not incorporate the uncertainty c</w:t>
      </w:r>
      <w:r>
        <w:rPr>
          <w:rFonts w:asciiTheme="minorHAnsi" w:hAnsiTheme="minorHAnsi" w:cstheme="minorHAnsi"/>
          <w:sz w:val="22"/>
          <w:szCs w:val="22"/>
        </w:rPr>
        <w:t>aused</w:t>
      </w:r>
      <w:r w:rsidRPr="00173716">
        <w:rPr>
          <w:rFonts w:asciiTheme="minorHAnsi" w:hAnsiTheme="minorHAnsi" w:cstheme="minorHAnsi"/>
          <w:sz w:val="22"/>
          <w:szCs w:val="22"/>
        </w:rPr>
        <w:t xml:space="preserve"> by missing </w:t>
      </w:r>
      <w:r>
        <w:rPr>
          <w:rFonts w:asciiTheme="minorHAnsi" w:hAnsiTheme="minorHAnsi" w:cstheme="minorHAnsi"/>
          <w:sz w:val="22"/>
          <w:szCs w:val="22"/>
        </w:rPr>
        <w:t>observations that have been remediated in each of the MI datasets</w:t>
      </w:r>
      <w:r w:rsidRPr="00173716">
        <w:rPr>
          <w:rFonts w:asciiTheme="minorHAnsi" w:hAnsiTheme="minorHAnsi" w:cstheme="minorHAnsi"/>
          <w:sz w:val="22"/>
          <w:szCs w:val="22"/>
        </w:rPr>
        <w:t>. Therefore, Wald-based statistic</w:t>
      </w:r>
      <w:r>
        <w:rPr>
          <w:rFonts w:asciiTheme="minorHAnsi" w:hAnsiTheme="minorHAnsi" w:cstheme="minorHAnsi"/>
          <w:sz w:val="22"/>
          <w:szCs w:val="22"/>
        </w:rPr>
        <w:t>s</w:t>
      </w:r>
      <w:r w:rsidRPr="00173716">
        <w:rPr>
          <w:rFonts w:asciiTheme="minorHAnsi" w:hAnsiTheme="minorHAnsi" w:cstheme="minorHAnsi"/>
          <w:sz w:val="22"/>
          <w:szCs w:val="22"/>
        </w:rPr>
        <w:t xml:space="preserve"> w</w:t>
      </w:r>
      <w:r>
        <w:rPr>
          <w:rFonts w:asciiTheme="minorHAnsi" w:hAnsiTheme="minorHAnsi" w:cstheme="minorHAnsi"/>
          <w:sz w:val="22"/>
          <w:szCs w:val="22"/>
        </w:rPr>
        <w:t>ere</w:t>
      </w:r>
      <w:r w:rsidRPr="00173716">
        <w:rPr>
          <w:rFonts w:asciiTheme="minorHAnsi" w:hAnsiTheme="minorHAnsi" w:cstheme="minorHAnsi"/>
          <w:sz w:val="22"/>
          <w:szCs w:val="22"/>
        </w:rPr>
        <w:t xml:space="preserve"> computed for variables with selection probabilities </w:t>
      </w:r>
      <w:r>
        <w:rPr>
          <w:rFonts w:asciiTheme="minorHAnsi" w:hAnsiTheme="minorHAnsi" w:cstheme="minorHAnsi"/>
          <w:sz w:val="22"/>
          <w:szCs w:val="22"/>
        </w:rPr>
        <w:t>ranging between</w:t>
      </w:r>
      <w:r w:rsidRPr="00173716">
        <w:rPr>
          <w:rFonts w:asciiTheme="minorHAnsi" w:hAnsiTheme="minorHAnsi" w:cstheme="minorHAnsi"/>
          <w:sz w:val="22"/>
          <w:szCs w:val="22"/>
        </w:rPr>
        <w:t xml:space="preserve"> 0.4 and 0.6</w:t>
      </w:r>
      <w:r>
        <w:rPr>
          <w:rFonts w:asciiTheme="minorHAnsi" w:hAnsiTheme="minorHAnsi" w:cstheme="minorHAnsi"/>
          <w:sz w:val="22"/>
          <w:szCs w:val="22"/>
        </w:rPr>
        <w:t xml:space="preserve"> in order</w:t>
      </w:r>
      <w:r w:rsidRPr="00173716">
        <w:rPr>
          <w:rFonts w:asciiTheme="minorHAnsi" w:hAnsiTheme="minorHAnsi" w:cstheme="minorHAnsi"/>
          <w:sz w:val="22"/>
          <w:szCs w:val="22"/>
        </w:rPr>
        <w:t xml:space="preserve"> to compare two nested models for improvement</w:t>
      </w:r>
      <w:r>
        <w:rPr>
          <w:rFonts w:asciiTheme="minorHAnsi" w:hAnsiTheme="minorHAnsi" w:cstheme="minorHAnsi"/>
          <w:sz w:val="22"/>
          <w:szCs w:val="22"/>
        </w:rPr>
        <w:t>. This approach therefore leads to</w:t>
      </w:r>
      <w:r w:rsidRPr="00173716">
        <w:rPr>
          <w:rFonts w:asciiTheme="minorHAnsi" w:hAnsiTheme="minorHAnsi" w:cstheme="minorHAnsi"/>
          <w:sz w:val="22"/>
          <w:szCs w:val="22"/>
        </w:rPr>
        <w:t xml:space="preserve"> the exclusion of non-predictive variables </w:t>
      </w:r>
      <w:r w:rsidRPr="00173716">
        <w:rPr>
          <w:rFonts w:asciiTheme="minorHAnsi" w:hAnsiTheme="minorHAnsi" w:cstheme="minorHAnsi"/>
          <w:sz w:val="22"/>
          <w:szCs w:val="22"/>
        </w:rPr>
        <w:fldChar w:fldCharType="begin"/>
      </w:r>
      <w:r w:rsidRPr="00173716">
        <w:rPr>
          <w:rFonts w:asciiTheme="minorHAnsi" w:hAnsiTheme="minorHAnsi" w:cstheme="minorHAnsi"/>
          <w:sz w:val="22"/>
          <w:szCs w:val="22"/>
        </w:rPr>
        <w:instrText xml:space="preserve"> ADDIN ZOTERO_ITEM CSL_CITATION {"citationID":"MXKe7KYP","properties":{"formattedCitation":"(29,32)","plainCitation":"(29,32)","noteIndex":0},"citationItems":[{"id":63,"uris":["http://zotero.org/users/local/zpJiQmLR/items/5ZWNXSVA"],"uri":["http://zotero.org/users/local/zpJiQmLR/items/5ZWNXSVA"],"itemData":{"id":63,"type":"book","abstract":"Flexible Imputation of Missing Data, Second Edition","edition":"Second Edition","publisher":"Chapman &amp; Hall/CRC","source":"stefvanbuuren.name","title":"Flexible Imputation of Missing data","title-short":"https","URL":"https://stefvanbuuren.name/fimd/","author":[{"family":"Buuren","given":"Stef","non-dropping-particle":"van"}],"accessed":{"date-parts":[["2021",4,30]]},"issued":{"date-parts":[["2018"]]}}},{"id":95,"uris":["http://zotero.org/users/local/zpJiQmLR/items/5PV4EKEP"],"uri":["http://zotero.org/users/local/zpJiQmLR/items/5PV4EKEP"],"itemData":{"id":95,"type":"article-journal","abstract":"Multiple imputation is a popular technique for analysing incomplete data. Given the imputed data and a particular model, Rubin's rules (RR) for estimating parameters and standard errors are well established. However, there are currently no guidelines for variable selection in multiply imputed data sets. The usual practice is to perform variable selection amongst the complete cases, a simple but inefficient and potentially biased procedure. Alternatively, variable selection can be performed by repeated use of RR, which is more computationally demanding. An approximation can be obtained by a simple 'stacked' method that combines the multiply imputed data sets into one and uses a weighting scheme to account for the fraction of missing data in each covariate. We compare these and other approaches using simulations based around a trial in community psychiatry. Most methods improve on the naïve complete-case analysis for variable selection, but importantly the type 1 error is only preserved if selection is based on RR, which is our recommended approach.","container-title":"Statistics in Medicine","DOI":"10.1002/sim.3177","ISSN":"0277-6715","issue":"17","journalAbbreviation":"Stat Med","language":"eng","note":"PMID: 18203127","page":"3227-3246","source":"PubMed","title":"How should variable selection be performed with multiply imputed data?","volume":"27","author":[{"family":"Wood","given":"Angela M."},{"family":"White","given":"Ian R."},{"family":"Royston","given":"Patrick"}],"issued":{"date-parts":[["2008",7,30]]}}}],"schema":"https://github.com/citation-style-language/schema/raw/master/csl-citation.json"} </w:instrText>
      </w:r>
      <w:r w:rsidRPr="00173716">
        <w:rPr>
          <w:rFonts w:asciiTheme="minorHAnsi" w:hAnsiTheme="minorHAnsi" w:cstheme="minorHAnsi"/>
          <w:sz w:val="22"/>
          <w:szCs w:val="22"/>
        </w:rPr>
        <w:fldChar w:fldCharType="separate"/>
      </w:r>
      <w:r w:rsidRPr="00173716">
        <w:rPr>
          <w:rFonts w:asciiTheme="minorHAnsi" w:hAnsiTheme="minorHAnsi" w:cstheme="minorHAnsi"/>
          <w:noProof/>
          <w:sz w:val="22"/>
          <w:szCs w:val="22"/>
        </w:rPr>
        <w:t>(29,32)</w:t>
      </w:r>
      <w:r w:rsidRPr="00173716">
        <w:rPr>
          <w:rFonts w:asciiTheme="minorHAnsi" w:hAnsiTheme="minorHAnsi" w:cstheme="minorHAnsi"/>
          <w:sz w:val="22"/>
          <w:szCs w:val="22"/>
        </w:rPr>
        <w:fldChar w:fldCharType="end"/>
      </w:r>
      <w:r w:rsidRPr="00173716">
        <w:rPr>
          <w:rFonts w:asciiTheme="minorHAnsi" w:hAnsiTheme="minorHAnsi" w:cstheme="minorHAnsi"/>
          <w:sz w:val="22"/>
          <w:szCs w:val="22"/>
        </w:rPr>
        <w:t xml:space="preserve">. Variables with a selection probability of </w:t>
      </w:r>
      <w:r w:rsidRPr="00173716">
        <w:rPr>
          <w:rFonts w:asciiTheme="minorHAnsi" w:hAnsiTheme="minorHAnsi" w:cstheme="minorHAnsi"/>
          <w:sz w:val="22"/>
          <w:szCs w:val="22"/>
          <w:shd w:val="clear" w:color="auto" w:fill="FFFFFF"/>
        </w:rPr>
        <w:t>≥0.6 were directly included</w:t>
      </w:r>
      <w:r>
        <w:rPr>
          <w:rFonts w:asciiTheme="minorHAnsi" w:hAnsiTheme="minorHAnsi" w:cstheme="minorHAnsi"/>
          <w:sz w:val="22"/>
          <w:szCs w:val="22"/>
          <w:shd w:val="clear" w:color="auto" w:fill="FFFFFF"/>
        </w:rPr>
        <w:t xml:space="preserve">. Analyses across intermediate MI datasets showed that age, BMI, </w:t>
      </w:r>
      <w:r w:rsidRPr="007125D3">
        <w:rPr>
          <w:rFonts w:asciiTheme="minorHAnsi" w:hAnsiTheme="minorHAnsi" w:cstheme="minorHAnsi"/>
          <w:i/>
          <w:iCs/>
          <w:sz w:val="22"/>
          <w:szCs w:val="22"/>
          <w:shd w:val="clear" w:color="auto" w:fill="FFFFFF"/>
        </w:rPr>
        <w:t>CYP2D6</w:t>
      </w:r>
      <w:r>
        <w:rPr>
          <w:rFonts w:asciiTheme="minorHAnsi" w:hAnsiTheme="minorHAnsi" w:cstheme="minorHAnsi"/>
          <w:sz w:val="22"/>
          <w:szCs w:val="22"/>
          <w:shd w:val="clear" w:color="auto" w:fill="FFFFFF"/>
        </w:rPr>
        <w:t xml:space="preserve">, CYP2D6 inhibitors, </w:t>
      </w:r>
      <w:r>
        <w:rPr>
          <w:rFonts w:asciiTheme="minorHAnsi" w:hAnsiTheme="minorHAnsi" w:cstheme="minorHAnsi"/>
          <w:sz w:val="22"/>
          <w:szCs w:val="22"/>
        </w:rPr>
        <w:t>intake-time-of-the-day</w:t>
      </w:r>
      <w:r>
        <w:rPr>
          <w:rFonts w:asciiTheme="minorHAnsi" w:hAnsiTheme="minorHAnsi" w:cstheme="minorHAnsi"/>
          <w:sz w:val="22"/>
          <w:szCs w:val="22"/>
          <w:shd w:val="clear" w:color="auto" w:fill="FFFFFF"/>
        </w:rPr>
        <w:t xml:space="preserve">, and weight were relevant predictors across ten, five, ten, one, four, and ten out of the total ten MI datasets, respectively. Therefore, age, </w:t>
      </w:r>
      <w:r w:rsidRPr="007125D3">
        <w:rPr>
          <w:rFonts w:asciiTheme="minorHAnsi" w:hAnsiTheme="minorHAnsi" w:cstheme="minorHAnsi"/>
          <w:i/>
          <w:iCs/>
          <w:sz w:val="22"/>
          <w:szCs w:val="22"/>
          <w:shd w:val="clear" w:color="auto" w:fill="FFFFFF"/>
        </w:rPr>
        <w:t>CYP2D6</w:t>
      </w:r>
      <w:r>
        <w:rPr>
          <w:rFonts w:asciiTheme="minorHAnsi" w:hAnsiTheme="minorHAnsi" w:cstheme="minorHAnsi"/>
          <w:sz w:val="22"/>
          <w:szCs w:val="22"/>
          <w:shd w:val="clear" w:color="auto" w:fill="FFFFFF"/>
        </w:rPr>
        <w:t xml:space="preserve"> and weight were directly included and CYP2D6 </w:t>
      </w:r>
      <w:r>
        <w:rPr>
          <w:rFonts w:asciiTheme="minorHAnsi" w:hAnsiTheme="minorHAnsi" w:cstheme="minorHAnsi"/>
          <w:sz w:val="22"/>
          <w:szCs w:val="22"/>
          <w:shd w:val="clear" w:color="auto" w:fill="FFFFFF"/>
        </w:rPr>
        <w:lastRenderedPageBreak/>
        <w:t xml:space="preserve">inhibitor use was excluded. </w:t>
      </w:r>
      <w:r>
        <w:rPr>
          <w:rFonts w:asciiTheme="minorHAnsi" w:hAnsiTheme="minorHAnsi" w:cstheme="minorHAnsi"/>
          <w:sz w:val="22"/>
          <w:szCs w:val="22"/>
        </w:rPr>
        <w:t>T</w:t>
      </w:r>
      <w:r w:rsidRPr="00E019CF">
        <w:rPr>
          <w:rFonts w:asciiTheme="minorHAnsi" w:hAnsiTheme="minorHAnsi" w:cstheme="minorHAnsi"/>
          <w:sz w:val="22"/>
          <w:szCs w:val="22"/>
        </w:rPr>
        <w:t xml:space="preserve">wo nested models including and not including BMI </w:t>
      </w:r>
      <w:r>
        <w:rPr>
          <w:rFonts w:asciiTheme="minorHAnsi" w:hAnsiTheme="minorHAnsi" w:cstheme="minorHAnsi"/>
          <w:sz w:val="22"/>
          <w:szCs w:val="22"/>
        </w:rPr>
        <w:t xml:space="preserve">and intake-time-of-the-day </w:t>
      </w:r>
      <w:r w:rsidRPr="00E019CF">
        <w:rPr>
          <w:rFonts w:asciiTheme="minorHAnsi" w:hAnsiTheme="minorHAnsi" w:cstheme="minorHAnsi"/>
          <w:sz w:val="22"/>
          <w:szCs w:val="22"/>
        </w:rPr>
        <w:t>were compared leading to BMI</w:t>
      </w:r>
      <w:r>
        <w:rPr>
          <w:rFonts w:asciiTheme="minorHAnsi" w:hAnsiTheme="minorHAnsi" w:cstheme="minorHAnsi"/>
          <w:sz w:val="22"/>
          <w:szCs w:val="22"/>
        </w:rPr>
        <w:t xml:space="preserve"> and intake-time-of-the-day</w:t>
      </w:r>
      <w:r w:rsidRPr="00E019CF">
        <w:rPr>
          <w:rFonts w:asciiTheme="minorHAnsi" w:hAnsiTheme="minorHAnsi" w:cstheme="minorHAnsi"/>
          <w:sz w:val="22"/>
          <w:szCs w:val="22"/>
        </w:rPr>
        <w:t xml:space="preserve"> being excluded from the model given the Wald-based test statistic was non-significant (p=0.14</w:t>
      </w:r>
      <w:r>
        <w:rPr>
          <w:rFonts w:asciiTheme="minorHAnsi" w:hAnsiTheme="minorHAnsi" w:cstheme="minorHAnsi"/>
          <w:sz w:val="22"/>
          <w:szCs w:val="22"/>
        </w:rPr>
        <w:t>; p=0.56</w:t>
      </w:r>
      <w:r w:rsidRPr="00E019CF">
        <w:rPr>
          <w:rFonts w:asciiTheme="minorHAnsi" w:hAnsiTheme="minorHAnsi" w:cstheme="minorHAnsi"/>
          <w:sz w:val="22"/>
          <w:szCs w:val="22"/>
        </w:rPr>
        <w:t>).</w:t>
      </w:r>
      <w:r>
        <w:rPr>
          <w:rFonts w:asciiTheme="minorHAnsi" w:hAnsiTheme="minorHAnsi" w:cstheme="minorHAnsi"/>
          <w:sz w:val="22"/>
          <w:szCs w:val="22"/>
        </w:rPr>
        <w:t xml:space="preserve"> Conclusively, the final model incorporated age, </w:t>
      </w:r>
      <w:r w:rsidRPr="007125D3">
        <w:rPr>
          <w:rFonts w:asciiTheme="minorHAnsi" w:hAnsiTheme="minorHAnsi" w:cstheme="minorHAnsi"/>
          <w:i/>
          <w:iCs/>
          <w:sz w:val="22"/>
          <w:szCs w:val="22"/>
        </w:rPr>
        <w:t>CYP2D6</w:t>
      </w:r>
      <w:r>
        <w:rPr>
          <w:rFonts w:asciiTheme="minorHAnsi" w:hAnsiTheme="minorHAnsi" w:cstheme="minorHAnsi"/>
          <w:sz w:val="22"/>
          <w:szCs w:val="22"/>
        </w:rPr>
        <w:t xml:space="preserve"> and weight</w:t>
      </w:r>
      <w:r w:rsidRPr="00E64479">
        <w:rPr>
          <w:rFonts w:asciiTheme="minorHAnsi" w:hAnsiTheme="minorHAnsi" w:cstheme="minorHAnsi"/>
          <w:sz w:val="22"/>
          <w:szCs w:val="22"/>
        </w:rPr>
        <w:t xml:space="preserve"> </w:t>
      </w:r>
      <w:r>
        <w:rPr>
          <w:rFonts w:asciiTheme="minorHAnsi" w:hAnsiTheme="minorHAnsi" w:cstheme="minorHAnsi"/>
          <w:sz w:val="22"/>
          <w:szCs w:val="22"/>
        </w:rPr>
        <w:t>as statistically significant predictors for endoxifen concentration.</w:t>
      </w:r>
    </w:p>
    <w:p w:rsidR="00EE25B6" w:rsidRPr="00BA4A3B" w:rsidRDefault="00EE25B6" w:rsidP="00EE25B6">
      <w:pPr>
        <w:pStyle w:val="ListParagraph"/>
        <w:numPr>
          <w:ilvl w:val="1"/>
          <w:numId w:val="1"/>
        </w:numPr>
        <w:spacing w:line="480" w:lineRule="auto"/>
        <w:jc w:val="both"/>
        <w:rPr>
          <w:rFonts w:asciiTheme="minorHAnsi" w:hAnsiTheme="minorHAnsi" w:cstheme="minorHAnsi"/>
          <w:b/>
          <w:bCs/>
          <w:sz w:val="22"/>
          <w:szCs w:val="22"/>
        </w:rPr>
      </w:pPr>
      <w:r w:rsidRPr="00BA4A3B">
        <w:rPr>
          <w:rFonts w:asciiTheme="minorHAnsi" w:hAnsiTheme="minorHAnsi" w:cstheme="minorHAnsi"/>
          <w:b/>
          <w:bCs/>
          <w:sz w:val="22"/>
          <w:szCs w:val="22"/>
        </w:rPr>
        <w:t xml:space="preserve">Model diagnostics </w:t>
      </w:r>
    </w:p>
    <w:p w:rsidR="00EE25B6" w:rsidRDefault="00EE25B6" w:rsidP="00EE25B6">
      <w:pPr>
        <w:spacing w:line="480" w:lineRule="auto"/>
        <w:ind w:firstLine="708"/>
        <w:jc w:val="both"/>
        <w:rPr>
          <w:rFonts w:asciiTheme="minorHAnsi" w:hAnsiTheme="minorHAnsi" w:cstheme="minorHAnsi"/>
          <w:sz w:val="22"/>
          <w:szCs w:val="22"/>
        </w:rPr>
      </w:pPr>
      <w:r>
        <w:rPr>
          <w:rFonts w:asciiTheme="minorHAnsi" w:hAnsiTheme="minorHAnsi" w:cstheme="minorHAnsi"/>
          <w:sz w:val="22"/>
          <w:szCs w:val="22"/>
        </w:rPr>
        <w:t>Goodness-of-fit plots were made to assess model performance and to check model assumptions such as normality, linearity, no or minimal collinearity, and heteroscedasticity of residuals. A Shapiro-Wilk test showed a significant deviation from normality for endoxifen concentration, after correction for covariate information (p&lt;0.001). However, in large datasets such a test is highly sensitive for small deviations from normality and therefore likely to lead to a significant result. Therefore, Q-Q plots were analyzed for all intermediate models across MI datasets which showed no visual deviation from normality in endoxifen concentration. Additionally, residuals vs. fitted values were plotted and a Scale-Location plot was computed which both showed linearity and no indication of heteroscedasticity, i.e., unequal along the regression line. No multicollinearity was found across variables in the final models by means of variance inflation factors, both for logistic and linear regression analyses.</w:t>
      </w:r>
    </w:p>
    <w:p w:rsidR="00EE25B6" w:rsidRDefault="00EE25B6" w:rsidP="00EE25B6">
      <w:pPr>
        <w:spacing w:line="480" w:lineRule="auto"/>
        <w:ind w:firstLine="708"/>
        <w:jc w:val="both"/>
        <w:rPr>
          <w:rFonts w:asciiTheme="minorHAnsi" w:hAnsiTheme="minorHAnsi" w:cstheme="minorHAnsi"/>
          <w:sz w:val="22"/>
          <w:szCs w:val="22"/>
        </w:rPr>
      </w:pPr>
    </w:p>
    <w:p w:rsidR="00EE25B6" w:rsidRPr="007C62E5" w:rsidRDefault="00EE25B6" w:rsidP="00EE25B6">
      <w:pPr>
        <w:spacing w:line="480" w:lineRule="auto"/>
        <w:ind w:firstLine="708"/>
        <w:jc w:val="both"/>
        <w:rPr>
          <w:rFonts w:asciiTheme="minorHAnsi" w:hAnsiTheme="minorHAnsi" w:cstheme="minorHAnsi"/>
          <w:sz w:val="22"/>
          <w:szCs w:val="22"/>
        </w:rPr>
      </w:pPr>
      <w:r>
        <w:rPr>
          <w:rFonts w:asciiTheme="minorHAnsi" w:hAnsiTheme="minorHAnsi" w:cstheme="minorHAnsi"/>
          <w:sz w:val="22"/>
          <w:szCs w:val="22"/>
        </w:rPr>
        <w:t xml:space="preserve">Often it is more advantageous to assess the distributional discrepancy between the observed and imputed data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ADDIN ZOTERO_ITEM CSL_CITATION {"citationID":"zA6lqgMD","properties":{"formattedCitation":"(29,40)","plainCitation":"(29,40)","noteIndex":0},"citationItems":[{"id":63,"uris":["http://zotero.org/users/local/zpJiQmLR/items/5ZWNXSVA"],"uri":["http://zotero.org/users/local/zpJiQmLR/items/5ZWNXSVA"],"itemData":{"id":63,"type":"book","abstract":"Flexible Imputation of Missing Data, Second Edition","edition":"Second Edition","publisher":"Chapman &amp; Hall/CRC","source":"stefvanbuuren.name","title":"Flexible Imputation of Missing data","title-short":"https","URL":"https://stefvanbuuren.name/fimd/","author":[{"family":"Buuren","given":"Stef","non-dropping-particle":"van"}],"accessed":{"date-parts":[["2021",4,30]]},"issued":{"date-parts":[["2018"]]}}},{"id":117,"uris":["http://zotero.org/users/local/zpJiQmLR/items/VT466HY5"],"uri":["http://zotero.org/users/local/zpJiQmLR/items/VT466HY5"],"itemData":{"id":117,"type":"article-journal","abstract":"Multiple imputation has become very popular as a general-purpose method for handling missing data. The validity of multiple-imputation-based analyses relies on the use of an appropriate model to impute the missing values. Despite the widespread use of multiple imputation, there are few guidelines available for checking imputation models.","container-title":"Emerging Themes in Epidemiology","DOI":"10.1186/s12982-017-0062-6","ISSN":"1742-7622","issue":"1","journalAbbreviation":"Emerging Themes in Epidemiology","page":"8","source":"BioMed Central","title":"Model checking in multiple imputation: an overview and case study","title-short":"Model checking in multiple imputation","volume":"14","author":[{"family":"Nguyen","given":"Cattram D."},{"family":"Carlin","given":"John B."},{"family":"Lee","given":"Katherine J."}],"issued":{"date-parts":[["2017",8,23]]}}}],"schema":"https://github.com/citation-style-language/schema/raw/master/csl-citation.json"} </w:instrText>
      </w:r>
      <w:r>
        <w:rPr>
          <w:rFonts w:asciiTheme="minorHAnsi" w:hAnsiTheme="minorHAnsi" w:cstheme="minorHAnsi"/>
          <w:sz w:val="22"/>
          <w:szCs w:val="22"/>
        </w:rPr>
        <w:fldChar w:fldCharType="separate"/>
      </w:r>
      <w:r>
        <w:rPr>
          <w:rFonts w:asciiTheme="minorHAnsi" w:hAnsiTheme="minorHAnsi" w:cstheme="minorHAnsi"/>
          <w:noProof/>
          <w:sz w:val="22"/>
          <w:szCs w:val="22"/>
        </w:rPr>
        <w:t>(29,40)</w:t>
      </w:r>
      <w:r>
        <w:rPr>
          <w:rFonts w:asciiTheme="minorHAnsi" w:hAnsiTheme="minorHAnsi" w:cstheme="minorHAnsi"/>
          <w:sz w:val="22"/>
          <w:szCs w:val="22"/>
        </w:rPr>
        <w:fldChar w:fldCharType="end"/>
      </w:r>
      <w:r>
        <w:rPr>
          <w:rFonts w:asciiTheme="minorHAnsi" w:hAnsiTheme="minorHAnsi" w:cstheme="minorHAnsi"/>
          <w:sz w:val="22"/>
          <w:szCs w:val="22"/>
        </w:rPr>
        <w:t xml:space="preserve">. A good fit should represent a similar distribution between observed and imputed data i.e., the imputation could be considered as real values. An exception can be made when the missing mechanism is considered to be MCAR. Consecutively, summary statistics including mean, median and spreads could be computed to assess differences. Additionally, distributional differences between observed and imputed data could be assessed. However, due to the low proportion of missing data, such analysis is not feasible. Key predictors of endoxifen; age, weight and </w:t>
      </w:r>
      <w:r w:rsidRPr="007125D3">
        <w:rPr>
          <w:rFonts w:asciiTheme="minorHAnsi" w:hAnsiTheme="minorHAnsi" w:cstheme="minorHAnsi"/>
          <w:i/>
          <w:iCs/>
          <w:sz w:val="22"/>
          <w:szCs w:val="22"/>
        </w:rPr>
        <w:t>CYP2D6</w:t>
      </w:r>
      <w:r>
        <w:rPr>
          <w:rFonts w:asciiTheme="minorHAnsi" w:hAnsiTheme="minorHAnsi" w:cstheme="minorHAnsi"/>
          <w:sz w:val="22"/>
          <w:szCs w:val="22"/>
        </w:rPr>
        <w:t xml:space="preserve"> </w:t>
      </w:r>
      <w:r>
        <w:rPr>
          <w:rFonts w:asciiTheme="minorHAnsi" w:hAnsiTheme="minorHAnsi" w:cstheme="minorHAnsi"/>
          <w:sz w:val="22"/>
          <w:szCs w:val="22"/>
        </w:rPr>
        <w:lastRenderedPageBreak/>
        <w:t>genotype consisted of approximately 0.6 percent missing information across all participants. Therefore, the imputations will not be able to create any deviations in the distribution.</w:t>
      </w:r>
    </w:p>
    <w:p w:rsidR="00D56072" w:rsidRDefault="00D56072">
      <w:bookmarkStart w:id="0" w:name="_GoBack"/>
      <w:bookmarkEnd w:id="0"/>
    </w:p>
    <w:sectPr w:rsidR="00D56072" w:rsidSect="000A5B0C">
      <w:headerReference w:type="default" r:id="rId5"/>
      <w:footerReference w:type="even" r:id="rId6"/>
      <w:footerReference w:type="default" r:id="rId7"/>
      <w:pgSz w:w="11900" w:h="16840"/>
      <w:pgMar w:top="1440" w:right="1440"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872797686"/>
      <w:docPartObj>
        <w:docPartGallery w:val="Page Numbers (Bottom of Page)"/>
        <w:docPartUnique/>
      </w:docPartObj>
    </w:sdtPr>
    <w:sdtEndPr>
      <w:rPr>
        <w:rStyle w:val="PageNumber"/>
      </w:rPr>
    </w:sdtEndPr>
    <w:sdtContent>
      <w:p w:rsidR="003F71EB" w:rsidRDefault="00EE25B6" w:rsidP="000A5B0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3F71EB" w:rsidRDefault="00EE25B6" w:rsidP="003D317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979493848"/>
      <w:docPartObj>
        <w:docPartGallery w:val="Page Numbers (Bottom of Page)"/>
        <w:docPartUnique/>
      </w:docPartObj>
    </w:sdtPr>
    <w:sdtEndPr>
      <w:rPr>
        <w:rStyle w:val="PageNumber"/>
      </w:rPr>
    </w:sdtEndPr>
    <w:sdtContent>
      <w:p w:rsidR="003F71EB" w:rsidRDefault="00EE25B6" w:rsidP="007D004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3F71EB" w:rsidRDefault="00EE25B6" w:rsidP="00C1628F">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71EB" w:rsidRPr="003C1B6B" w:rsidRDefault="00EE25B6">
    <w:pPr>
      <w:pStyle w:val="Header"/>
      <w:rPr>
        <w:rFonts w:asciiTheme="minorHAnsi" w:hAnsiTheme="minorHAnsi" w:cstheme="minorHAnsi"/>
        <w:i/>
        <w:sz w:val="22"/>
        <w:szCs w:val="22"/>
      </w:rPr>
    </w:pPr>
    <w:r w:rsidRPr="003C1B6B">
      <w:rPr>
        <w:rFonts w:asciiTheme="minorHAnsi" w:hAnsiTheme="minorHAnsi" w:cstheme="minorHAnsi"/>
        <w:i/>
        <w:sz w:val="22"/>
        <w:szCs w:val="22"/>
      </w:rPr>
      <w:t>Breast Cancer Research and Treatment</w:t>
    </w:r>
  </w:p>
  <w:p w:rsidR="003F71EB" w:rsidRDefault="00EE25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122102"/>
    <w:multiLevelType w:val="multilevel"/>
    <w:tmpl w:val="2E48DC1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5B6"/>
    <w:rsid w:val="00D56072"/>
    <w:rsid w:val="00EE25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D795C3-B3CA-4858-BA51-4A7A0EB4A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25B6"/>
    <w:pPr>
      <w:spacing w:after="0" w:line="240" w:lineRule="auto"/>
    </w:pPr>
    <w:rPr>
      <w:rFonts w:ascii="Times New Roman" w:eastAsia="Times New Roman" w:hAnsi="Times New Roman" w:cs="Times New Roman"/>
      <w:sz w:val="24"/>
      <w:szCs w:val="24"/>
      <w:lang w:eastAsia="nl-NL"/>
    </w:rPr>
  </w:style>
  <w:style w:type="paragraph" w:styleId="Heading1">
    <w:name w:val="heading 1"/>
    <w:basedOn w:val="Normal"/>
    <w:next w:val="Normal"/>
    <w:link w:val="Heading1Char"/>
    <w:uiPriority w:val="9"/>
    <w:qFormat/>
    <w:rsid w:val="00EE25B6"/>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25B6"/>
    <w:rPr>
      <w:rFonts w:asciiTheme="majorHAnsi" w:eastAsiaTheme="majorEastAsia" w:hAnsiTheme="majorHAnsi" w:cstheme="majorBidi"/>
      <w:color w:val="2E74B5" w:themeColor="accent1" w:themeShade="BF"/>
      <w:sz w:val="32"/>
      <w:szCs w:val="32"/>
      <w:lang w:eastAsia="nl-NL"/>
    </w:rPr>
  </w:style>
  <w:style w:type="paragraph" w:styleId="ListParagraph">
    <w:name w:val="List Paragraph"/>
    <w:basedOn w:val="Normal"/>
    <w:uiPriority w:val="34"/>
    <w:qFormat/>
    <w:rsid w:val="00EE25B6"/>
    <w:pPr>
      <w:ind w:left="720"/>
      <w:contextualSpacing/>
    </w:pPr>
  </w:style>
  <w:style w:type="paragraph" w:styleId="Header">
    <w:name w:val="header"/>
    <w:basedOn w:val="Normal"/>
    <w:link w:val="HeaderChar"/>
    <w:uiPriority w:val="99"/>
    <w:unhideWhenUsed/>
    <w:rsid w:val="00EE25B6"/>
    <w:pPr>
      <w:tabs>
        <w:tab w:val="center" w:pos="4513"/>
        <w:tab w:val="right" w:pos="9026"/>
      </w:tabs>
    </w:pPr>
  </w:style>
  <w:style w:type="character" w:customStyle="1" w:styleId="HeaderChar">
    <w:name w:val="Header Char"/>
    <w:basedOn w:val="DefaultParagraphFont"/>
    <w:link w:val="Header"/>
    <w:uiPriority w:val="99"/>
    <w:rsid w:val="00EE25B6"/>
    <w:rPr>
      <w:rFonts w:ascii="Times New Roman" w:eastAsia="Times New Roman" w:hAnsi="Times New Roman" w:cs="Times New Roman"/>
      <w:sz w:val="24"/>
      <w:szCs w:val="24"/>
      <w:lang w:eastAsia="nl-NL"/>
    </w:rPr>
  </w:style>
  <w:style w:type="paragraph" w:styleId="Footer">
    <w:name w:val="footer"/>
    <w:basedOn w:val="Normal"/>
    <w:link w:val="FooterChar"/>
    <w:uiPriority w:val="99"/>
    <w:unhideWhenUsed/>
    <w:rsid w:val="00EE25B6"/>
    <w:pPr>
      <w:tabs>
        <w:tab w:val="center" w:pos="4513"/>
        <w:tab w:val="right" w:pos="9026"/>
      </w:tabs>
    </w:pPr>
  </w:style>
  <w:style w:type="character" w:customStyle="1" w:styleId="FooterChar">
    <w:name w:val="Footer Char"/>
    <w:basedOn w:val="DefaultParagraphFont"/>
    <w:link w:val="Footer"/>
    <w:uiPriority w:val="99"/>
    <w:rsid w:val="00EE25B6"/>
    <w:rPr>
      <w:rFonts w:ascii="Times New Roman" w:eastAsia="Times New Roman" w:hAnsi="Times New Roman" w:cs="Times New Roman"/>
      <w:sz w:val="24"/>
      <w:szCs w:val="24"/>
      <w:lang w:eastAsia="nl-NL"/>
    </w:rPr>
  </w:style>
  <w:style w:type="character" w:styleId="PageNumber">
    <w:name w:val="page number"/>
    <w:basedOn w:val="DefaultParagraphFont"/>
    <w:uiPriority w:val="99"/>
    <w:semiHidden/>
    <w:unhideWhenUsed/>
    <w:rsid w:val="00EE25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2045</Words>
  <Characters>11657</Characters>
  <Application>Microsoft Office Word</Application>
  <DocSecurity>0</DocSecurity>
  <Lines>97</Lines>
  <Paragraphs>27</Paragraphs>
  <ScaleCrop>false</ScaleCrop>
  <Company>Springer Nature IT</Company>
  <LinksUpToDate>false</LinksUpToDate>
  <CharactersWithSpaces>13675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2021-07-20T08:55:00Z</dcterms:created>
  <dcterms:modified xsi:type="dcterms:W3CDTF">2021-07-20T08:55:00Z</dcterms:modified>
</cp:coreProperties>
</file>