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6540" w14:textId="79A51B00" w:rsidR="0019466E" w:rsidRPr="007110B1" w:rsidRDefault="0019466E" w:rsidP="00F1142D">
      <w:pPr>
        <w:spacing w:line="480" w:lineRule="auto"/>
        <w:rPr>
          <w:rFonts w:ascii="Times New Roman" w:hAnsi="Times New Roman" w:cs="Times New Roman"/>
          <w:b/>
          <w:bCs/>
          <w:sz w:val="44"/>
          <w:szCs w:val="44"/>
        </w:rPr>
      </w:pPr>
      <w:r w:rsidRPr="007110B1">
        <w:rPr>
          <w:rFonts w:ascii="Times New Roman" w:hAnsi="Times New Roman" w:cs="Times New Roman"/>
          <w:b/>
          <w:bCs/>
          <w:sz w:val="44"/>
          <w:szCs w:val="44"/>
        </w:rPr>
        <w:t xml:space="preserve">Supplementary Notes on the </w:t>
      </w:r>
      <w:r w:rsidR="0061099B" w:rsidRPr="007110B1">
        <w:rPr>
          <w:rFonts w:ascii="Times New Roman" w:hAnsi="Times New Roman" w:cs="Times New Roman"/>
          <w:b/>
          <w:bCs/>
          <w:sz w:val="44"/>
          <w:szCs w:val="44"/>
        </w:rPr>
        <w:t>Figure 1 (</w:t>
      </w:r>
      <w:r w:rsidRPr="007110B1">
        <w:rPr>
          <w:rFonts w:ascii="Times New Roman" w:hAnsi="Times New Roman" w:cs="Times New Roman"/>
          <w:b/>
          <w:bCs/>
          <w:sz w:val="44"/>
          <w:szCs w:val="44"/>
        </w:rPr>
        <w:t>Flowchart</w:t>
      </w:r>
      <w:r w:rsidR="0061099B" w:rsidRPr="007110B1">
        <w:rPr>
          <w:rFonts w:ascii="Times New Roman" w:hAnsi="Times New Roman" w:cs="Times New Roman"/>
          <w:b/>
          <w:bCs/>
          <w:sz w:val="44"/>
          <w:szCs w:val="44"/>
        </w:rPr>
        <w:t>)</w:t>
      </w:r>
      <w:r w:rsidRPr="007110B1">
        <w:rPr>
          <w:rFonts w:ascii="Times New Roman" w:hAnsi="Times New Roman" w:cs="Times New Roman"/>
          <w:b/>
          <w:bCs/>
          <w:sz w:val="44"/>
          <w:szCs w:val="44"/>
        </w:rPr>
        <w:t>:</w:t>
      </w:r>
    </w:p>
    <w:p w14:paraId="5D105215" w14:textId="5B23AAC3" w:rsidR="0076356D" w:rsidRDefault="00A47067" w:rsidP="00AE54EE">
      <w:pPr>
        <w:pStyle w:val="a3"/>
        <w:spacing w:line="480" w:lineRule="auto"/>
        <w:rPr>
          <w:rFonts w:ascii="Times New Roman" w:hAnsi="Times New Roman" w:cs="Times New Roman"/>
          <w:sz w:val="36"/>
          <w:szCs w:val="36"/>
        </w:rPr>
      </w:pPr>
      <w:r w:rsidRPr="0076356D">
        <w:rPr>
          <w:rFonts w:ascii="Times New Roman" w:hAnsi="Times New Roman" w:cs="Times New Roman"/>
          <w:sz w:val="36"/>
          <w:szCs w:val="36"/>
        </w:rPr>
        <w:t xml:space="preserve">The </w:t>
      </w:r>
      <w:r w:rsidR="0019466E" w:rsidRPr="0076356D">
        <w:rPr>
          <w:rFonts w:ascii="Times New Roman" w:hAnsi="Times New Roman" w:cs="Times New Roman"/>
          <w:sz w:val="36"/>
          <w:szCs w:val="36"/>
        </w:rPr>
        <w:t>PREVENT calculator be used for primary prevention patients (those without atherosclerotic cardiovascular disease or heart failure) only.</w:t>
      </w:r>
      <w:r w:rsidR="00FA65B5" w:rsidRPr="0076356D">
        <w:rPr>
          <w:rFonts w:ascii="Times New Roman" w:hAnsi="Times New Roman" w:cs="Times New Roman"/>
          <w:sz w:val="36"/>
          <w:szCs w:val="36"/>
        </w:rPr>
        <w:t xml:space="preserve"> </w:t>
      </w:r>
      <w:r w:rsidRPr="0076356D">
        <w:rPr>
          <w:rFonts w:ascii="Times New Roman" w:hAnsi="Times New Roman" w:cs="Times New Roman"/>
          <w:sz w:val="36"/>
          <w:szCs w:val="36"/>
        </w:rPr>
        <w:t>This calculator</w:t>
      </w:r>
      <w:r w:rsidR="00FA65B5" w:rsidRPr="0076356D">
        <w:rPr>
          <w:rFonts w:ascii="Times New Roman" w:hAnsi="Times New Roman" w:cs="Times New Roman"/>
          <w:sz w:val="36"/>
          <w:szCs w:val="36"/>
        </w:rPr>
        <w:t xml:space="preserve"> includes both a full model and a basic model. Due to the unavailability of some required variables in NHANES, we adopted the basic model in this study. The basic model comprises nine factors: sex, age, total cholesterol, high-density lipoprotein cholesterol, systolic blood pressure (SBP), body mass index (BMI), estimated glomerular filtration rate (eGFR), diabetes status, current smoking status, and use of antihypertensive and lipid-lowering medications. For the continuous variables, the developers of the PREVENT equation defined a validated range for application. Individuals whose risk factor values fall outside these validated ranges should undergo individualized assessment and management. Therefore, participants with values outside the following validated ranges were excluded from the present study: age 30–79 years, total cholesterol 130–320 mg/dL, HDL cholesterol 20–100 mg/dL, SBP 90–180 mmHg, BMI 18.5–39.9 kg/m², and eGFR 15–140 </w:t>
      </w:r>
      <w:r w:rsidR="00FA65B5" w:rsidRPr="0076356D">
        <w:rPr>
          <w:rFonts w:ascii="Times New Roman" w:hAnsi="Times New Roman" w:cs="Times New Roman"/>
          <w:sz w:val="36"/>
          <w:szCs w:val="36"/>
        </w:rPr>
        <w:lastRenderedPageBreak/>
        <w:t>mL/min/1.73 m².</w:t>
      </w:r>
      <w:r w:rsidR="00E93F79" w:rsidRPr="00E93F79">
        <w:t xml:space="preserve"> </w:t>
      </w:r>
      <w:r w:rsidR="00E93F79" w:rsidRPr="00E93F79">
        <w:rPr>
          <w:rFonts w:ascii="Times New Roman" w:hAnsi="Times New Roman" w:cs="Times New Roman"/>
          <w:sz w:val="36"/>
          <w:szCs w:val="36"/>
        </w:rPr>
        <w:t>The blood pressure value used for the PREVENT equation calculation was determined by averaging the three measurements obtained during the examination.</w:t>
      </w:r>
    </w:p>
    <w:p w14:paraId="6235A5B8" w14:textId="2FE177F4" w:rsidR="00E93F79" w:rsidRDefault="001A624D" w:rsidP="00AE54EE">
      <w:pPr>
        <w:pStyle w:val="a3"/>
        <w:spacing w:line="480" w:lineRule="auto"/>
        <w:rPr>
          <w:rFonts w:ascii="Times New Roman" w:hAnsi="Times New Roman" w:cs="Times New Roman"/>
          <w:sz w:val="36"/>
          <w:szCs w:val="36"/>
        </w:rPr>
      </w:pPr>
      <w:r w:rsidRPr="001A624D">
        <w:rPr>
          <w:rFonts w:ascii="Times New Roman" w:hAnsi="Times New Roman" w:cs="Times New Roman"/>
          <w:sz w:val="36"/>
          <w:szCs w:val="36"/>
        </w:rPr>
        <w:t>History of cardiovascular disease (including heart failure, coronary heart disease, and stroke), hypertension, and medication use was identified based on self-reported questionnaires. Diabetes was defined by a self-reported diagnosis, use of insulin or antidiabetic medications, or meeting one of the following criteria: HbA1c ≥ 6.5% or fasting plasma glucose ≥ 126 mg/dL.</w:t>
      </w:r>
    </w:p>
    <w:p w14:paraId="151833DE" w14:textId="37FB92F4" w:rsidR="001A624D" w:rsidRDefault="001A624D" w:rsidP="00AE54EE">
      <w:pPr>
        <w:pStyle w:val="a3"/>
        <w:spacing w:line="480" w:lineRule="auto"/>
        <w:rPr>
          <w:rFonts w:ascii="Times New Roman" w:hAnsi="Times New Roman" w:cs="Times New Roman"/>
          <w:sz w:val="36"/>
          <w:szCs w:val="36"/>
        </w:rPr>
      </w:pPr>
      <w:r w:rsidRPr="001A624D">
        <w:rPr>
          <w:rFonts w:ascii="Times New Roman" w:hAnsi="Times New Roman" w:cs="Times New Roman"/>
          <w:sz w:val="36"/>
          <w:szCs w:val="36"/>
        </w:rPr>
        <w:t>Alcohol consumption data were obtained from two 24-hour dietary recall interviews. Physical activity level was assessed based on self-reported engagement in vigorous activities (e.g., running, basketball, or similar fitness/sports activities) and moderate activities (e.g., brisk walking, regular swimming, or cycling).</w:t>
      </w:r>
    </w:p>
    <w:p w14:paraId="3B25E629" w14:textId="5EFD236F" w:rsidR="001A624D" w:rsidRDefault="001A624D" w:rsidP="00AE54EE">
      <w:pPr>
        <w:pStyle w:val="a3"/>
        <w:spacing w:line="480" w:lineRule="auto"/>
        <w:rPr>
          <w:rFonts w:ascii="Times New Roman" w:hAnsi="Times New Roman" w:cs="Times New Roman"/>
          <w:sz w:val="36"/>
          <w:szCs w:val="36"/>
        </w:rPr>
      </w:pPr>
      <w:r>
        <w:rPr>
          <w:rFonts w:ascii="Times New Roman" w:hAnsi="Times New Roman" w:cs="Times New Roman"/>
          <w:sz w:val="36"/>
          <w:szCs w:val="36"/>
        </w:rPr>
        <w:br w:type="column"/>
      </w:r>
      <w:r w:rsidRPr="001A624D">
        <w:rPr>
          <w:rFonts w:ascii="Times New Roman" w:hAnsi="Times New Roman" w:cs="Times New Roman"/>
          <w:sz w:val="36"/>
          <w:szCs w:val="36"/>
        </w:rPr>
        <w:lastRenderedPageBreak/>
        <w:t>Due to the absence of HCV antibody data in the 2015–2016 cycle, HCV RNA results were used as a substitute.</w:t>
      </w:r>
    </w:p>
    <w:p w14:paraId="211F18D9" w14:textId="77777777" w:rsidR="0076356D" w:rsidRDefault="0076356D" w:rsidP="00F1142D">
      <w:pPr>
        <w:spacing w:line="480" w:lineRule="auto"/>
        <w:rPr>
          <w:rFonts w:ascii="Times New Roman" w:hAnsi="Times New Roman" w:cs="Times New Roman"/>
          <w:sz w:val="36"/>
          <w:szCs w:val="36"/>
        </w:rPr>
      </w:pPr>
    </w:p>
    <w:p w14:paraId="10A704FA" w14:textId="77777777" w:rsidR="0076356D" w:rsidRPr="0076356D" w:rsidRDefault="0076356D" w:rsidP="00F1142D">
      <w:pPr>
        <w:spacing w:line="480" w:lineRule="auto"/>
        <w:rPr>
          <w:rFonts w:ascii="Times New Roman" w:hAnsi="Times New Roman" w:cs="Times New Roman"/>
          <w:sz w:val="44"/>
          <w:szCs w:val="44"/>
        </w:rPr>
      </w:pPr>
    </w:p>
    <w:p w14:paraId="750D096C" w14:textId="4108FB8C" w:rsidR="00C273AA" w:rsidRDefault="00C273AA" w:rsidP="00F1142D">
      <w:pPr>
        <w:spacing w:line="480" w:lineRule="auto"/>
        <w:rPr>
          <w:rFonts w:ascii="Times New Roman" w:hAnsi="Times New Roman" w:cs="Times New Roman"/>
          <w:b/>
          <w:bCs/>
          <w:sz w:val="44"/>
          <w:szCs w:val="44"/>
        </w:rPr>
      </w:pPr>
      <w:r w:rsidRPr="007110B1">
        <w:rPr>
          <w:rFonts w:ascii="Times New Roman" w:hAnsi="Times New Roman" w:cs="Times New Roman"/>
          <w:b/>
          <w:bCs/>
          <w:sz w:val="44"/>
          <w:szCs w:val="44"/>
        </w:rPr>
        <w:t>Supplementary Figure 1</w:t>
      </w:r>
      <w:r w:rsidR="002F7925" w:rsidRPr="007110B1">
        <w:rPr>
          <w:rFonts w:ascii="Times New Roman" w:hAnsi="Times New Roman" w:cs="Times New Roman"/>
          <w:b/>
          <w:bCs/>
          <w:sz w:val="44"/>
          <w:szCs w:val="44"/>
        </w:rPr>
        <w:t>:</w:t>
      </w:r>
    </w:p>
    <w:p w14:paraId="2CCB1733" w14:textId="77777777" w:rsidR="007110B1" w:rsidRPr="007110B1" w:rsidRDefault="007110B1" w:rsidP="00F1142D">
      <w:pPr>
        <w:spacing w:line="480" w:lineRule="auto"/>
        <w:rPr>
          <w:rFonts w:ascii="Times New Roman" w:hAnsi="Times New Roman" w:cs="Times New Roman"/>
          <w:b/>
          <w:bCs/>
          <w:sz w:val="44"/>
          <w:szCs w:val="44"/>
        </w:rPr>
      </w:pPr>
    </w:p>
    <w:p w14:paraId="3DE44398" w14:textId="650E5259" w:rsidR="00D02D90" w:rsidRPr="0076356D" w:rsidRDefault="00A30605" w:rsidP="00F1142D">
      <w:pPr>
        <w:spacing w:line="480" w:lineRule="auto"/>
        <w:rPr>
          <w:rFonts w:ascii="Times New Roman" w:hAnsi="Times New Roman" w:cs="Times New Roman"/>
          <w:sz w:val="36"/>
          <w:szCs w:val="36"/>
        </w:rPr>
      </w:pPr>
      <w:r w:rsidRPr="0076356D">
        <w:rPr>
          <w:rFonts w:ascii="Times New Roman" w:hAnsi="Times New Roman" w:cs="Times New Roman"/>
          <w:sz w:val="36"/>
          <w:szCs w:val="36"/>
        </w:rPr>
        <w:t xml:space="preserve">Based on the PREVENT calculator, the prevalence of 10-year estimated CVD risk in hypertensive adults, stratified by median BMI values (&lt;30.39 vs. </w:t>
      </w:r>
      <w:r w:rsidR="002F7925" w:rsidRPr="0076356D">
        <w:rPr>
          <w:rFonts w:ascii="Times New Roman" w:hAnsi="Times New Roman" w:cs="Times New Roman"/>
          <w:sz w:val="36"/>
          <w:szCs w:val="36"/>
        </w:rPr>
        <w:t>≥</w:t>
      </w:r>
      <w:r w:rsidRPr="0076356D">
        <w:rPr>
          <w:rFonts w:ascii="Times New Roman" w:hAnsi="Times New Roman" w:cs="Times New Roman"/>
          <w:sz w:val="36"/>
          <w:szCs w:val="36"/>
        </w:rPr>
        <w:t>30.29 kg/m</w:t>
      </w:r>
      <w:r w:rsidRPr="0076356D">
        <w:rPr>
          <w:rFonts w:ascii="Times New Roman" w:hAnsi="Times New Roman" w:cs="Times New Roman"/>
          <w:sz w:val="36"/>
          <w:szCs w:val="36"/>
          <w:vertAlign w:val="superscript"/>
        </w:rPr>
        <w:t>2</w:t>
      </w:r>
      <w:r w:rsidRPr="0076356D">
        <w:rPr>
          <w:rFonts w:ascii="Times New Roman" w:hAnsi="Times New Roman" w:cs="Times New Roman"/>
          <w:sz w:val="36"/>
          <w:szCs w:val="36"/>
        </w:rPr>
        <w:t>) and the presence or absence of hepatic steatosis with or without concomitant significant fibrosis. P-values were tested by the chi-squared test.</w:t>
      </w:r>
    </w:p>
    <w:p w14:paraId="2B0CFFEC" w14:textId="029233D6" w:rsidR="00FF3F33" w:rsidRDefault="00FF3F33" w:rsidP="00F1142D">
      <w:pPr>
        <w:spacing w:line="480" w:lineRule="auto"/>
      </w:pPr>
      <w:r>
        <w:rPr>
          <w:rFonts w:hint="eastAsia"/>
          <w:noProof/>
        </w:rPr>
        <w:lastRenderedPageBreak/>
        <w:drawing>
          <wp:inline distT="0" distB="0" distL="0" distR="0" wp14:anchorId="3148336F" wp14:editId="0D092B29">
            <wp:extent cx="5139159" cy="5467927"/>
            <wp:effectExtent l="0" t="0" r="4445" b="6350"/>
            <wp:docPr id="6195840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84065" name="图片 61958406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52066" cy="5588057"/>
                    </a:xfrm>
                    <a:prstGeom prst="rect">
                      <a:avLst/>
                    </a:prstGeom>
                  </pic:spPr>
                </pic:pic>
              </a:graphicData>
            </a:graphic>
          </wp:inline>
        </w:drawing>
      </w:r>
    </w:p>
    <w:p w14:paraId="7F5EEEC2" w14:textId="451D2056" w:rsidR="00FF3F33" w:rsidRPr="007110B1" w:rsidRDefault="00FF3F33" w:rsidP="00F1142D">
      <w:pPr>
        <w:spacing w:line="480" w:lineRule="auto"/>
        <w:rPr>
          <w:rFonts w:ascii="Times New Roman" w:hAnsi="Times New Roman" w:cs="Times New Roman"/>
          <w:b/>
          <w:bCs/>
          <w:sz w:val="44"/>
          <w:szCs w:val="44"/>
        </w:rPr>
      </w:pPr>
      <w:r w:rsidRPr="007110B1">
        <w:rPr>
          <w:rFonts w:ascii="Times New Roman" w:hAnsi="Times New Roman" w:cs="Times New Roman"/>
          <w:b/>
          <w:bCs/>
          <w:sz w:val="44"/>
          <w:szCs w:val="44"/>
        </w:rPr>
        <w:lastRenderedPageBreak/>
        <w:t>Supplementary Figure 2</w:t>
      </w:r>
      <w:r w:rsidR="002F7925" w:rsidRPr="007110B1">
        <w:rPr>
          <w:rFonts w:ascii="Times New Roman" w:hAnsi="Times New Roman" w:cs="Times New Roman"/>
          <w:b/>
          <w:bCs/>
          <w:sz w:val="44"/>
          <w:szCs w:val="44"/>
        </w:rPr>
        <w:t>:</w:t>
      </w:r>
    </w:p>
    <w:p w14:paraId="0C43931C" w14:textId="5F4E1986" w:rsidR="002F7925" w:rsidRPr="0076356D" w:rsidRDefault="002F7925" w:rsidP="00F1142D">
      <w:pPr>
        <w:spacing w:line="480" w:lineRule="auto"/>
        <w:rPr>
          <w:rFonts w:ascii="Times New Roman" w:hAnsi="Times New Roman" w:cs="Times New Roman"/>
          <w:sz w:val="36"/>
          <w:szCs w:val="36"/>
        </w:rPr>
      </w:pPr>
      <w:r w:rsidRPr="0076356D">
        <w:rPr>
          <w:rFonts w:ascii="Times New Roman" w:hAnsi="Times New Roman" w:cs="Times New Roman"/>
          <w:sz w:val="36"/>
          <w:szCs w:val="36"/>
        </w:rPr>
        <w:t>Based on the PREVENT calculator, the prevalence of 10-year estimated CVD risk in hypertensive adults, stratified by median age (&lt;63 vs. ≥63 years) and the presence or absence of hepatic steatosis with or without concomitant significant fibrosis. P-values were tested by the chi-squared test.</w:t>
      </w:r>
    </w:p>
    <w:p w14:paraId="6857D2EC" w14:textId="77777777" w:rsidR="002F7925" w:rsidRPr="002F7925" w:rsidRDefault="002F7925" w:rsidP="00F1142D">
      <w:pPr>
        <w:spacing w:line="480" w:lineRule="auto"/>
        <w:rPr>
          <w:rFonts w:ascii="Times New Roman" w:hAnsi="Times New Roman" w:cs="Times New Roman"/>
          <w:sz w:val="36"/>
          <w:szCs w:val="36"/>
        </w:rPr>
      </w:pPr>
    </w:p>
    <w:p w14:paraId="7A837A40" w14:textId="037A35BA" w:rsidR="00FF3F33" w:rsidRDefault="00FF3F33" w:rsidP="00F1142D">
      <w:pPr>
        <w:spacing w:line="480" w:lineRule="auto"/>
      </w:pPr>
      <w:r>
        <w:rPr>
          <w:rFonts w:hint="eastAsia"/>
          <w:noProof/>
        </w:rPr>
        <w:lastRenderedPageBreak/>
        <w:drawing>
          <wp:inline distT="0" distB="0" distL="0" distR="0" wp14:anchorId="129E9D9C" wp14:editId="1087AC94">
            <wp:extent cx="4907666" cy="5221624"/>
            <wp:effectExtent l="0" t="0" r="0" b="0"/>
            <wp:docPr id="10133646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64626" name="图片 10133646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06414" cy="5326689"/>
                    </a:xfrm>
                    <a:prstGeom prst="rect">
                      <a:avLst/>
                    </a:prstGeom>
                  </pic:spPr>
                </pic:pic>
              </a:graphicData>
            </a:graphic>
          </wp:inline>
        </w:drawing>
      </w:r>
    </w:p>
    <w:p w14:paraId="2A15BD92" w14:textId="34264721" w:rsidR="00FF3F33" w:rsidRPr="007110B1" w:rsidRDefault="00FF3F33" w:rsidP="00F1142D">
      <w:pPr>
        <w:spacing w:line="480" w:lineRule="auto"/>
        <w:rPr>
          <w:rFonts w:ascii="Times New Roman" w:hAnsi="Times New Roman" w:cs="Times New Roman"/>
          <w:b/>
          <w:bCs/>
          <w:sz w:val="44"/>
          <w:szCs w:val="44"/>
        </w:rPr>
      </w:pPr>
      <w:r w:rsidRPr="007110B1">
        <w:rPr>
          <w:rFonts w:ascii="Times New Roman" w:hAnsi="Times New Roman" w:cs="Times New Roman"/>
          <w:b/>
          <w:bCs/>
          <w:sz w:val="44"/>
          <w:szCs w:val="44"/>
        </w:rPr>
        <w:lastRenderedPageBreak/>
        <w:t>Supplementary Figure 3</w:t>
      </w:r>
      <w:r w:rsidR="0076356D" w:rsidRPr="007110B1">
        <w:rPr>
          <w:rFonts w:ascii="Times New Roman" w:hAnsi="Times New Roman" w:cs="Times New Roman" w:hint="eastAsia"/>
          <w:b/>
          <w:bCs/>
          <w:sz w:val="44"/>
          <w:szCs w:val="44"/>
        </w:rPr>
        <w:t>:</w:t>
      </w:r>
    </w:p>
    <w:p w14:paraId="4AD8C78C" w14:textId="55BF7896" w:rsidR="00921B91" w:rsidRPr="0076356D" w:rsidRDefault="00921B91" w:rsidP="00F1142D">
      <w:pPr>
        <w:spacing w:line="480" w:lineRule="auto"/>
        <w:rPr>
          <w:rFonts w:ascii="Times New Roman" w:hAnsi="Times New Roman" w:cs="Times New Roman"/>
          <w:sz w:val="36"/>
          <w:szCs w:val="36"/>
        </w:rPr>
      </w:pPr>
      <w:r w:rsidRPr="0076356D">
        <w:rPr>
          <w:rFonts w:ascii="Times New Roman" w:hAnsi="Times New Roman" w:cs="Times New Roman"/>
          <w:sz w:val="36"/>
          <w:szCs w:val="36"/>
        </w:rPr>
        <w:t>Based on the PREVENT calculator, the prevalence of 10-year estimated CVD risk in hypertensive adults, stratified by sex (men vs. women) and the presence or absence of hepatic steatosis with or without concomitant significant fibrosis. P-values were tested by the chi-squared test.</w:t>
      </w:r>
    </w:p>
    <w:p w14:paraId="19F1F34A" w14:textId="77777777" w:rsidR="00921B91" w:rsidRPr="00921B91" w:rsidRDefault="00921B91" w:rsidP="00F1142D">
      <w:pPr>
        <w:spacing w:line="480" w:lineRule="auto"/>
        <w:rPr>
          <w:rFonts w:ascii="Times New Roman" w:hAnsi="Times New Roman" w:cs="Times New Roman"/>
          <w:sz w:val="36"/>
          <w:szCs w:val="36"/>
        </w:rPr>
      </w:pPr>
    </w:p>
    <w:p w14:paraId="3830A9DA" w14:textId="6CAA4A21" w:rsidR="00FF3F33" w:rsidRDefault="00FF3F33" w:rsidP="00F1142D">
      <w:pPr>
        <w:spacing w:line="480" w:lineRule="auto"/>
      </w:pPr>
      <w:r>
        <w:rPr>
          <w:noProof/>
        </w:rPr>
        <w:lastRenderedPageBreak/>
        <w:drawing>
          <wp:inline distT="0" distB="0" distL="0" distR="0" wp14:anchorId="5BEABCBD" wp14:editId="7F9D9D48">
            <wp:extent cx="5104435" cy="5430980"/>
            <wp:effectExtent l="0" t="0" r="1270" b="5080"/>
            <wp:docPr id="19420239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23970" name="图片 19420239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3764" cy="5568583"/>
                    </a:xfrm>
                    <a:prstGeom prst="rect">
                      <a:avLst/>
                    </a:prstGeom>
                  </pic:spPr>
                </pic:pic>
              </a:graphicData>
            </a:graphic>
          </wp:inline>
        </w:drawing>
      </w:r>
    </w:p>
    <w:p w14:paraId="79D52A37" w14:textId="57FDF380" w:rsidR="00955B6C" w:rsidRPr="007110B1" w:rsidRDefault="00955B6C" w:rsidP="00F1142D">
      <w:pPr>
        <w:spacing w:line="480" w:lineRule="auto"/>
        <w:rPr>
          <w:rFonts w:ascii="Times New Roman" w:hAnsi="Times New Roman" w:cs="Times New Roman"/>
          <w:b/>
          <w:bCs/>
          <w:sz w:val="44"/>
          <w:szCs w:val="44"/>
        </w:rPr>
      </w:pPr>
      <w:r w:rsidRPr="007110B1">
        <w:rPr>
          <w:rFonts w:ascii="Times New Roman" w:hAnsi="Times New Roman" w:cs="Times New Roman"/>
          <w:b/>
          <w:bCs/>
          <w:sz w:val="44"/>
          <w:szCs w:val="44"/>
        </w:rPr>
        <w:lastRenderedPageBreak/>
        <w:t>Supplementary Table 1.</w:t>
      </w:r>
    </w:p>
    <w:p w14:paraId="35239641" w14:textId="4C3D1A7A" w:rsidR="00AA02F5" w:rsidRPr="0076356D" w:rsidRDefault="00AA02F5" w:rsidP="00F1142D">
      <w:pPr>
        <w:spacing w:line="480" w:lineRule="auto"/>
        <w:rPr>
          <w:rFonts w:ascii="Times New Roman" w:hAnsi="Times New Roman" w:cs="Times New Roman"/>
          <w:sz w:val="36"/>
          <w:szCs w:val="36"/>
          <w:u w:val="single"/>
        </w:rPr>
      </w:pPr>
      <w:r w:rsidRPr="0076356D">
        <w:rPr>
          <w:rFonts w:ascii="Times New Roman" w:eastAsia="微软雅黑" w:hAnsi="Times New Roman" w:cs="Times New Roman"/>
          <w:color w:val="000000" w:themeColor="text1"/>
          <w:sz w:val="36"/>
          <w:szCs w:val="36"/>
        </w:rPr>
        <w:t>Association between hepatic steatosis with or without coexisting significant fibrosis and the 10-year estimated CVD risk.</w:t>
      </w:r>
      <w:r w:rsidRPr="0076356D">
        <w:rPr>
          <w:sz w:val="36"/>
          <w:szCs w:val="36"/>
        </w:rPr>
        <w:t xml:space="preserve"> </w:t>
      </w:r>
      <w:r w:rsidRPr="0076356D">
        <w:rPr>
          <w:rFonts w:ascii="Times New Roman" w:hAnsi="Times New Roman" w:cs="Times New Roman"/>
          <w:sz w:val="36"/>
          <w:szCs w:val="36"/>
          <w:u w:val="single"/>
        </w:rPr>
        <w:t>In these logistic regression models, we excluded patients with missing serum HCV antibody data (for whom HCV RNA data were used as a substitute) (i.e., participants from 2015-2016).</w:t>
      </w:r>
    </w:p>
    <w:p w14:paraId="74C19AE0" w14:textId="77777777" w:rsidR="00955B6C" w:rsidRDefault="00955B6C" w:rsidP="00F1142D">
      <w:pPr>
        <w:spacing w:line="480" w:lineRule="auto"/>
      </w:pPr>
    </w:p>
    <w:tbl>
      <w:tblPr>
        <w:tblpPr w:leftFromText="180" w:rightFromText="180" w:vertAnchor="text" w:horzAnchor="page" w:tblpX="1885" w:tblpY="142"/>
        <w:tblW w:w="0" w:type="auto"/>
        <w:tblLayout w:type="fixed"/>
        <w:tblLook w:val="0420" w:firstRow="1" w:lastRow="0" w:firstColumn="0" w:lastColumn="0" w:noHBand="0" w:noVBand="1"/>
      </w:tblPr>
      <w:tblGrid>
        <w:gridCol w:w="4933"/>
        <w:gridCol w:w="5840"/>
        <w:gridCol w:w="2381"/>
      </w:tblGrid>
      <w:tr w:rsidR="00955B6C" w:rsidRPr="0076356D" w14:paraId="6EDB3E17" w14:textId="77777777" w:rsidTr="00CC7CF6">
        <w:trPr>
          <w:trHeight w:val="1741"/>
          <w:tblHeader/>
        </w:trPr>
        <w:tc>
          <w:tcPr>
            <w:tcW w:w="493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4C7184"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b/>
                <w:bCs/>
                <w:color w:val="000000"/>
                <w:sz w:val="36"/>
                <w:szCs w:val="36"/>
              </w:rPr>
            </w:pPr>
            <w:r w:rsidRPr="0076356D">
              <w:rPr>
                <w:rFonts w:ascii="Times New Roman" w:eastAsia="Helvetica" w:hAnsi="Times New Roman" w:cs="Times New Roman"/>
                <w:b/>
                <w:bCs/>
                <w:color w:val="000000"/>
                <w:sz w:val="36"/>
                <w:szCs w:val="36"/>
              </w:rPr>
              <w:lastRenderedPageBreak/>
              <w:t>Logistic Regression Analyses</w:t>
            </w:r>
          </w:p>
        </w:tc>
        <w:tc>
          <w:tcPr>
            <w:tcW w:w="58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ABD1DD"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b/>
                <w:bCs/>
                <w:color w:val="000000"/>
                <w:sz w:val="36"/>
                <w:szCs w:val="36"/>
              </w:rPr>
            </w:pPr>
            <w:r w:rsidRPr="0076356D">
              <w:rPr>
                <w:rFonts w:ascii="Times New Roman" w:eastAsia="Helvetica" w:hAnsi="Times New Roman" w:cs="Times New Roman"/>
                <w:b/>
                <w:bCs/>
                <w:color w:val="000000"/>
                <w:sz w:val="36"/>
                <w:szCs w:val="36"/>
              </w:rPr>
              <w:t>OR (95% CI)</w:t>
            </w:r>
          </w:p>
        </w:tc>
        <w:tc>
          <w:tcPr>
            <w:tcW w:w="23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9EB6E6"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b/>
                <w:bCs/>
                <w:color w:val="000000"/>
                <w:sz w:val="36"/>
                <w:szCs w:val="36"/>
              </w:rPr>
            </w:pPr>
            <w:r w:rsidRPr="0076356D">
              <w:rPr>
                <w:rFonts w:ascii="Times New Roman" w:eastAsia="Helvetica" w:hAnsi="Times New Roman" w:cs="Times New Roman"/>
                <w:b/>
                <w:bCs/>
                <w:color w:val="000000"/>
                <w:sz w:val="36"/>
                <w:szCs w:val="36"/>
              </w:rPr>
              <w:t>P-value</w:t>
            </w:r>
          </w:p>
        </w:tc>
      </w:tr>
      <w:tr w:rsidR="00955B6C" w:rsidRPr="0076356D" w14:paraId="4D326F24" w14:textId="77777777" w:rsidTr="00CC7CF6">
        <w:trPr>
          <w:trHeight w:val="2760"/>
        </w:trPr>
        <w:tc>
          <w:tcPr>
            <w:tcW w:w="493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9DC75"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b/>
                <w:bCs/>
                <w:color w:val="000000"/>
                <w:sz w:val="36"/>
                <w:szCs w:val="36"/>
              </w:rPr>
            </w:pPr>
            <w:r w:rsidRPr="0076356D">
              <w:rPr>
                <w:rFonts w:ascii="Times New Roman" w:eastAsia="Helvetica" w:hAnsi="Times New Roman" w:cs="Times New Roman"/>
                <w:b/>
                <w:bCs/>
                <w:color w:val="000000"/>
                <w:sz w:val="36"/>
                <w:szCs w:val="36"/>
              </w:rPr>
              <w:t xml:space="preserve">Y = High or moderate risk vs. </w:t>
            </w:r>
          </w:p>
          <w:p w14:paraId="05BB681F"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b/>
                <w:bCs/>
                <w:color w:val="000000"/>
                <w:sz w:val="36"/>
                <w:szCs w:val="36"/>
              </w:rPr>
            </w:pPr>
            <w:r w:rsidRPr="0076356D">
              <w:rPr>
                <w:rFonts w:ascii="Times New Roman" w:eastAsia="Helvetica" w:hAnsi="Times New Roman" w:cs="Times New Roman"/>
                <w:b/>
                <w:bCs/>
                <w:color w:val="000000"/>
                <w:sz w:val="36"/>
                <w:szCs w:val="36"/>
              </w:rPr>
              <w:t>Low risk score</w:t>
            </w:r>
          </w:p>
          <w:p w14:paraId="01962B3B"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i/>
                <w:iCs/>
                <w:color w:val="000000"/>
                <w:sz w:val="36"/>
                <w:szCs w:val="36"/>
              </w:rPr>
            </w:pPr>
            <w:r w:rsidRPr="0076356D">
              <w:rPr>
                <w:rFonts w:ascii="Times New Roman" w:eastAsia="Helvetica" w:hAnsi="Times New Roman" w:cs="Times New Roman"/>
                <w:i/>
                <w:iCs/>
                <w:color w:val="000000"/>
                <w:sz w:val="36"/>
                <w:szCs w:val="36"/>
              </w:rPr>
              <w:t>Unadjusted model</w:t>
            </w:r>
          </w:p>
        </w:tc>
        <w:tc>
          <w:tcPr>
            <w:tcW w:w="58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53239"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p>
        </w:tc>
        <w:tc>
          <w:tcPr>
            <w:tcW w:w="23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4B2F6"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p>
        </w:tc>
      </w:tr>
      <w:tr w:rsidR="00955B6C" w:rsidRPr="0076356D" w14:paraId="758E7899"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EA7E0"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USFLI&lt;30</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AF026"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Ref.</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BCF5A"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w:t>
            </w:r>
          </w:p>
        </w:tc>
      </w:tr>
      <w:tr w:rsidR="00955B6C" w:rsidRPr="0076356D" w14:paraId="66AD7505"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57BAB"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USFLI&gt;=30 &amp; FIB_4&lt;1.3</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63326"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0.82(0.45, 1.50)</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52586"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0.514</w:t>
            </w:r>
          </w:p>
        </w:tc>
      </w:tr>
      <w:tr w:rsidR="00955B6C" w:rsidRPr="0076356D" w14:paraId="4EBF4042"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F3DE0"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USFLI&gt;=30 &amp; FIB_4&gt;=1.3</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573EB"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9.85(2.48, 39.1)</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CEB64"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&lt;0.001</w:t>
            </w:r>
          </w:p>
        </w:tc>
      </w:tr>
      <w:tr w:rsidR="00955B6C" w:rsidRPr="0076356D" w14:paraId="73FBD69D" w14:textId="77777777" w:rsidTr="00CC7CF6">
        <w:trPr>
          <w:trHeight w:val="1019"/>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0F13B"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i/>
                <w:iCs/>
                <w:color w:val="000000"/>
                <w:sz w:val="36"/>
                <w:szCs w:val="36"/>
              </w:rPr>
            </w:pPr>
            <w:r w:rsidRPr="0076356D">
              <w:rPr>
                <w:rFonts w:ascii="Times New Roman" w:eastAsia="Helvetica" w:hAnsi="Times New Roman" w:cs="Times New Roman"/>
                <w:i/>
                <w:iCs/>
                <w:color w:val="000000"/>
                <w:sz w:val="36"/>
                <w:szCs w:val="36"/>
              </w:rPr>
              <w:lastRenderedPageBreak/>
              <w:t>Adjusted model</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32254"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8A556"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p>
        </w:tc>
      </w:tr>
      <w:tr w:rsidR="00955B6C" w:rsidRPr="0076356D" w14:paraId="49256D5C"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54756"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USFLI&lt;30</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E834A"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Ref.</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F6794"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p>
        </w:tc>
      </w:tr>
      <w:tr w:rsidR="00955B6C" w:rsidRPr="0076356D" w14:paraId="41E85869"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13F09"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USFLI&gt;=30 &amp; FIB_4&lt;1.3</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C033A"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0.95(0.48, 1.86)</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4A26F"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0.876</w:t>
            </w:r>
          </w:p>
        </w:tc>
      </w:tr>
      <w:tr w:rsidR="00955B6C" w:rsidRPr="0076356D" w14:paraId="7AC6CA0E"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4970E"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USFLI&gt;=30 &amp; FIB_4&gt;=1.3</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39E93"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10.1(2.47, 41.4)</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72082"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&lt;0.001</w:t>
            </w:r>
          </w:p>
        </w:tc>
      </w:tr>
      <w:tr w:rsidR="00955B6C" w:rsidRPr="0076356D" w14:paraId="1F83E552" w14:textId="77777777" w:rsidTr="00CC7CF6">
        <w:trPr>
          <w:trHeight w:val="1061"/>
        </w:trPr>
        <w:tc>
          <w:tcPr>
            <w:tcW w:w="493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426915"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Helvetica" w:hAnsi="Times New Roman" w:cs="Times New Roman"/>
                <w:color w:val="000000"/>
                <w:sz w:val="36"/>
                <w:szCs w:val="36"/>
              </w:rPr>
            </w:pPr>
          </w:p>
        </w:tc>
        <w:tc>
          <w:tcPr>
            <w:tcW w:w="58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C62DEA"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Helvetica" w:hAnsi="Times New Roman" w:cs="Times New Roman"/>
                <w:color w:val="000000"/>
                <w:sz w:val="36"/>
                <w:szCs w:val="36"/>
              </w:rPr>
            </w:pPr>
          </w:p>
        </w:tc>
        <w:tc>
          <w:tcPr>
            <w:tcW w:w="23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DC10F9" w14:textId="77777777" w:rsidR="00955B6C" w:rsidRPr="0076356D" w:rsidRDefault="00955B6C" w:rsidP="00F1142D">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Helvetica" w:hAnsi="Times New Roman" w:cs="Times New Roman"/>
                <w:color w:val="000000"/>
                <w:sz w:val="36"/>
                <w:szCs w:val="36"/>
              </w:rPr>
            </w:pPr>
          </w:p>
        </w:tc>
      </w:tr>
    </w:tbl>
    <w:p w14:paraId="32F8AACE" w14:textId="0F28112C" w:rsidR="00AA02F5" w:rsidRPr="0076356D" w:rsidRDefault="00AA02F5" w:rsidP="00F1142D">
      <w:pPr>
        <w:pStyle w:val="a3"/>
        <w:spacing w:before="0" w:beforeAutospacing="0" w:after="0" w:afterAutospacing="0" w:line="480" w:lineRule="auto"/>
        <w:rPr>
          <w:rFonts w:ascii="Times New Roman" w:eastAsia="微软雅黑" w:hAnsi="Times New Roman" w:cs="Times New Roman"/>
          <w:color w:val="000000" w:themeColor="text1"/>
          <w:sz w:val="28"/>
          <w:szCs w:val="28"/>
        </w:rPr>
      </w:pPr>
      <w:r w:rsidRPr="0076356D">
        <w:rPr>
          <w:rFonts w:ascii="Times New Roman" w:hAnsi="Times New Roman" w:cs="Times New Roman"/>
          <w:b/>
          <w:bCs/>
          <w:color w:val="000000" w:themeColor="text1"/>
          <w:sz w:val="28"/>
          <w:szCs w:val="28"/>
        </w:rPr>
        <w:t>Cohort size</w:t>
      </w:r>
      <w:r w:rsidRPr="0076356D">
        <w:rPr>
          <w:rFonts w:ascii="Times New Roman" w:hAnsi="Times New Roman" w:cs="Times New Roman"/>
          <w:color w:val="000000" w:themeColor="text1"/>
          <w:sz w:val="28"/>
          <w:szCs w:val="28"/>
        </w:rPr>
        <w:t xml:space="preserve">: n = </w:t>
      </w:r>
      <w:r w:rsidR="006F2FD1" w:rsidRPr="0076356D">
        <w:rPr>
          <w:rFonts w:ascii="Times New Roman" w:hAnsi="Times New Roman" w:cs="Times New Roman"/>
          <w:color w:val="000000" w:themeColor="text1"/>
          <w:sz w:val="28"/>
          <w:szCs w:val="28"/>
        </w:rPr>
        <w:t>944</w:t>
      </w:r>
      <w:r w:rsidRPr="0076356D">
        <w:rPr>
          <w:rFonts w:ascii="Times New Roman" w:hAnsi="Times New Roman" w:cs="Times New Roman"/>
          <w:color w:val="000000" w:themeColor="text1"/>
          <w:sz w:val="28"/>
          <w:szCs w:val="28"/>
        </w:rPr>
        <w:t xml:space="preserve">. Data are presented as odds ratio (OR) with 95% confidence interval (CI) and were evaluated using univariate and multivariate logistic regression analyses. The dependent variable in the logistic regression model was defined </w:t>
      </w:r>
      <w:r w:rsidRPr="0076356D">
        <w:rPr>
          <w:rFonts w:ascii="Times New Roman" w:hAnsi="Times New Roman" w:cs="Times New Roman"/>
          <w:color w:val="000000" w:themeColor="text1"/>
          <w:sz w:val="28"/>
          <w:szCs w:val="28"/>
        </w:rPr>
        <w:lastRenderedPageBreak/>
        <w:t>as membership in the combined moderate/high CVD risk group vs the low CVD risk group. The regression models were adjusted for sex, educational level, race/ethnicity, marital status, physical activity level, PIR, and the presence of CKD, defined as an eGFR &lt; 60 mL/min/1.73 m² or abnormal albuminuria.</w:t>
      </w:r>
    </w:p>
    <w:p w14:paraId="6AC5D1B5" w14:textId="77777777" w:rsidR="00AA02F5" w:rsidRPr="0076356D" w:rsidRDefault="00AA02F5" w:rsidP="00F1142D">
      <w:pPr>
        <w:spacing w:line="480" w:lineRule="auto"/>
        <w:rPr>
          <w:rFonts w:ascii="Times New Roman" w:hAnsi="Times New Roman" w:cs="Times New Roman"/>
          <w:sz w:val="32"/>
          <w:szCs w:val="32"/>
        </w:rPr>
      </w:pPr>
    </w:p>
    <w:p w14:paraId="72C01900" w14:textId="77777777" w:rsidR="00AA02F5" w:rsidRPr="0076356D" w:rsidRDefault="00AA02F5" w:rsidP="00F1142D">
      <w:pPr>
        <w:spacing w:line="480" w:lineRule="auto"/>
        <w:rPr>
          <w:rFonts w:ascii="Times New Roman" w:hAnsi="Times New Roman" w:cs="Times New Roman"/>
          <w:sz w:val="32"/>
          <w:szCs w:val="32"/>
        </w:rPr>
      </w:pPr>
    </w:p>
    <w:p w14:paraId="5016577A" w14:textId="13FEEAE2" w:rsidR="00C273AA" w:rsidRPr="007110B1" w:rsidRDefault="00C273AA" w:rsidP="00F1142D">
      <w:pPr>
        <w:spacing w:line="480" w:lineRule="auto"/>
        <w:rPr>
          <w:rFonts w:ascii="Times New Roman" w:hAnsi="Times New Roman" w:cs="Times New Roman"/>
          <w:b/>
          <w:bCs/>
          <w:sz w:val="44"/>
          <w:szCs w:val="44"/>
        </w:rPr>
      </w:pPr>
      <w:r w:rsidRPr="007110B1">
        <w:rPr>
          <w:rFonts w:ascii="Times New Roman" w:hAnsi="Times New Roman" w:cs="Times New Roman"/>
          <w:b/>
          <w:bCs/>
          <w:sz w:val="44"/>
          <w:szCs w:val="44"/>
        </w:rPr>
        <w:t xml:space="preserve">Supplementary Table </w:t>
      </w:r>
      <w:r w:rsidR="00955B6C" w:rsidRPr="007110B1">
        <w:rPr>
          <w:rFonts w:ascii="Times New Roman" w:hAnsi="Times New Roman" w:cs="Times New Roman"/>
          <w:b/>
          <w:bCs/>
          <w:sz w:val="44"/>
          <w:szCs w:val="44"/>
        </w:rPr>
        <w:t>2</w:t>
      </w:r>
      <w:r w:rsidRPr="007110B1">
        <w:rPr>
          <w:rFonts w:ascii="Times New Roman" w:hAnsi="Times New Roman" w:cs="Times New Roman"/>
          <w:b/>
          <w:bCs/>
          <w:sz w:val="44"/>
          <w:szCs w:val="44"/>
        </w:rPr>
        <w:t>.</w:t>
      </w:r>
    </w:p>
    <w:p w14:paraId="721CA5ED" w14:textId="1C08FCA3" w:rsidR="00C273AA" w:rsidRPr="0076356D" w:rsidRDefault="00AA02F5" w:rsidP="00F1142D">
      <w:pPr>
        <w:spacing w:line="480" w:lineRule="auto"/>
        <w:rPr>
          <w:sz w:val="36"/>
          <w:szCs w:val="36"/>
        </w:rPr>
      </w:pPr>
      <w:r w:rsidRPr="0076356D">
        <w:rPr>
          <w:rFonts w:ascii="Times New Roman" w:eastAsia="微软雅黑" w:hAnsi="Times New Roman" w:cs="Times New Roman"/>
          <w:color w:val="000000" w:themeColor="text1"/>
          <w:sz w:val="36"/>
          <w:szCs w:val="36"/>
        </w:rPr>
        <w:t>Association between hepatic steatosis with or without coexisting significant fibrosis and the 10-year estimated CVD risk.</w:t>
      </w:r>
      <w:r w:rsidRPr="0076356D">
        <w:rPr>
          <w:rFonts w:ascii="Times New Roman" w:hAnsi="Times New Roman" w:cs="Times New Roman"/>
          <w:sz w:val="36"/>
          <w:szCs w:val="36"/>
          <w:u w:val="single"/>
        </w:rPr>
        <w:t xml:space="preserve"> In these logistic regression models, we excluded patients with missing covariate data from the final dataset.</w:t>
      </w:r>
    </w:p>
    <w:tbl>
      <w:tblPr>
        <w:tblpPr w:leftFromText="180" w:rightFromText="180" w:vertAnchor="text" w:horzAnchor="page" w:tblpX="1885" w:tblpY="142"/>
        <w:tblW w:w="0" w:type="auto"/>
        <w:tblLayout w:type="fixed"/>
        <w:tblLook w:val="0420" w:firstRow="1" w:lastRow="0" w:firstColumn="0" w:lastColumn="0" w:noHBand="0" w:noVBand="1"/>
      </w:tblPr>
      <w:tblGrid>
        <w:gridCol w:w="4933"/>
        <w:gridCol w:w="5840"/>
        <w:gridCol w:w="2381"/>
      </w:tblGrid>
      <w:tr w:rsidR="00FF3F33" w:rsidRPr="0076356D" w14:paraId="1385D636" w14:textId="77777777" w:rsidTr="00CC7CF6">
        <w:trPr>
          <w:trHeight w:val="1741"/>
          <w:tblHeader/>
        </w:trPr>
        <w:tc>
          <w:tcPr>
            <w:tcW w:w="493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7F2BCB"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b/>
                <w:bCs/>
                <w:color w:val="000000"/>
                <w:sz w:val="36"/>
                <w:szCs w:val="36"/>
              </w:rPr>
            </w:pPr>
            <w:r w:rsidRPr="0076356D">
              <w:rPr>
                <w:rFonts w:ascii="Times New Roman" w:eastAsia="Helvetica" w:hAnsi="Times New Roman" w:cs="Times New Roman"/>
                <w:b/>
                <w:bCs/>
                <w:color w:val="000000"/>
                <w:sz w:val="36"/>
                <w:szCs w:val="36"/>
              </w:rPr>
              <w:lastRenderedPageBreak/>
              <w:t>Logistic Regression Analyses</w:t>
            </w:r>
          </w:p>
        </w:tc>
        <w:tc>
          <w:tcPr>
            <w:tcW w:w="58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BFC3FE"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b/>
                <w:bCs/>
                <w:color w:val="000000"/>
                <w:sz w:val="36"/>
                <w:szCs w:val="36"/>
              </w:rPr>
            </w:pPr>
            <w:r w:rsidRPr="0076356D">
              <w:rPr>
                <w:rFonts w:ascii="Times New Roman" w:eastAsia="Helvetica" w:hAnsi="Times New Roman" w:cs="Times New Roman"/>
                <w:b/>
                <w:bCs/>
                <w:color w:val="000000"/>
                <w:sz w:val="36"/>
                <w:szCs w:val="36"/>
              </w:rPr>
              <w:t>OR (95% CI)</w:t>
            </w:r>
          </w:p>
        </w:tc>
        <w:tc>
          <w:tcPr>
            <w:tcW w:w="23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6CEB86C"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b/>
                <w:bCs/>
                <w:color w:val="000000"/>
                <w:sz w:val="36"/>
                <w:szCs w:val="36"/>
              </w:rPr>
            </w:pPr>
            <w:r w:rsidRPr="0076356D">
              <w:rPr>
                <w:rFonts w:ascii="Times New Roman" w:eastAsia="Helvetica" w:hAnsi="Times New Roman" w:cs="Times New Roman"/>
                <w:b/>
                <w:bCs/>
                <w:color w:val="000000"/>
                <w:sz w:val="36"/>
                <w:szCs w:val="36"/>
              </w:rPr>
              <w:t>P-value</w:t>
            </w:r>
          </w:p>
        </w:tc>
      </w:tr>
      <w:tr w:rsidR="00FF3F33" w:rsidRPr="0076356D" w14:paraId="36E39CB5" w14:textId="77777777" w:rsidTr="00CC7CF6">
        <w:trPr>
          <w:trHeight w:val="2760"/>
        </w:trPr>
        <w:tc>
          <w:tcPr>
            <w:tcW w:w="493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79A54"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b/>
                <w:bCs/>
                <w:color w:val="000000"/>
                <w:sz w:val="36"/>
                <w:szCs w:val="36"/>
              </w:rPr>
            </w:pPr>
            <w:r w:rsidRPr="0076356D">
              <w:rPr>
                <w:rFonts w:ascii="Times New Roman" w:eastAsia="Helvetica" w:hAnsi="Times New Roman" w:cs="Times New Roman"/>
                <w:b/>
                <w:bCs/>
                <w:color w:val="000000"/>
                <w:sz w:val="36"/>
                <w:szCs w:val="36"/>
              </w:rPr>
              <w:t xml:space="preserve">Y = High or moderate risk vs. </w:t>
            </w:r>
          </w:p>
          <w:p w14:paraId="576851A5"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b/>
                <w:bCs/>
                <w:color w:val="000000"/>
                <w:sz w:val="36"/>
                <w:szCs w:val="36"/>
              </w:rPr>
            </w:pPr>
            <w:r w:rsidRPr="0076356D">
              <w:rPr>
                <w:rFonts w:ascii="Times New Roman" w:eastAsia="Helvetica" w:hAnsi="Times New Roman" w:cs="Times New Roman"/>
                <w:b/>
                <w:bCs/>
                <w:color w:val="000000"/>
                <w:sz w:val="36"/>
                <w:szCs w:val="36"/>
              </w:rPr>
              <w:t>Low risk score</w:t>
            </w:r>
          </w:p>
          <w:p w14:paraId="58110B92"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i/>
                <w:iCs/>
                <w:color w:val="000000"/>
                <w:sz w:val="36"/>
                <w:szCs w:val="36"/>
              </w:rPr>
            </w:pPr>
            <w:r w:rsidRPr="0076356D">
              <w:rPr>
                <w:rFonts w:ascii="Times New Roman" w:eastAsia="Helvetica" w:hAnsi="Times New Roman" w:cs="Times New Roman"/>
                <w:i/>
                <w:iCs/>
                <w:color w:val="000000"/>
                <w:sz w:val="36"/>
                <w:szCs w:val="36"/>
              </w:rPr>
              <w:t>Unadjusted model</w:t>
            </w:r>
          </w:p>
        </w:tc>
        <w:tc>
          <w:tcPr>
            <w:tcW w:w="58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5B7B5"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p>
        </w:tc>
        <w:tc>
          <w:tcPr>
            <w:tcW w:w="23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5622A"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p>
        </w:tc>
      </w:tr>
      <w:tr w:rsidR="00FF3F33" w:rsidRPr="0076356D" w14:paraId="77643AD0"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F8F1D"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USFLI&lt;30</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230B0"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Ref.</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2B205"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w:t>
            </w:r>
          </w:p>
        </w:tc>
      </w:tr>
      <w:tr w:rsidR="00FF3F33" w:rsidRPr="0076356D" w14:paraId="6B44DD4F"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124F6"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USFLI&gt;=30 &amp; FIB_4&lt;1.3</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3E4B0"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0.87(0.46, 1.63)</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8D5F5"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0.659</w:t>
            </w:r>
          </w:p>
        </w:tc>
      </w:tr>
      <w:tr w:rsidR="00FF3F33" w:rsidRPr="0076356D" w14:paraId="3FC524F0"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B2093"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USFLI&gt;=30 &amp; FIB_4&gt;=1.3</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D916E"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11.8(2.96, 47.1)</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0DD43"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&lt;0.001</w:t>
            </w:r>
          </w:p>
        </w:tc>
      </w:tr>
      <w:tr w:rsidR="00FF3F33" w:rsidRPr="0076356D" w14:paraId="391F28AA" w14:textId="77777777" w:rsidTr="00CC7CF6">
        <w:trPr>
          <w:trHeight w:val="1019"/>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6DD9D"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i/>
                <w:iCs/>
                <w:color w:val="000000"/>
                <w:sz w:val="36"/>
                <w:szCs w:val="36"/>
              </w:rPr>
            </w:pPr>
            <w:r w:rsidRPr="0076356D">
              <w:rPr>
                <w:rFonts w:ascii="Times New Roman" w:eastAsia="Helvetica" w:hAnsi="Times New Roman" w:cs="Times New Roman"/>
                <w:i/>
                <w:iCs/>
                <w:color w:val="000000"/>
                <w:sz w:val="36"/>
                <w:szCs w:val="36"/>
              </w:rPr>
              <w:lastRenderedPageBreak/>
              <w:t>Adjusted model</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07C05"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29732"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p>
        </w:tc>
      </w:tr>
      <w:tr w:rsidR="00FF3F33" w:rsidRPr="0076356D" w14:paraId="36412077"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7D0E1"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USFLI&lt;30</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540BF"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Ref.</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1C6B7"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p>
        </w:tc>
      </w:tr>
      <w:tr w:rsidR="00FF3F33" w:rsidRPr="0076356D" w14:paraId="2E5E12DC"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741BB"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USFLI&gt;=30 &amp; FIB_4&lt;1.3</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18E3C"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0.99(0.50, 1.97)</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EA4B77"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0.973</w:t>
            </w:r>
          </w:p>
        </w:tc>
      </w:tr>
      <w:tr w:rsidR="00FF3F33" w:rsidRPr="0076356D" w14:paraId="7789FB91" w14:textId="77777777" w:rsidTr="00CC7CF6">
        <w:trPr>
          <w:trHeight w:val="1061"/>
        </w:trPr>
        <w:tc>
          <w:tcPr>
            <w:tcW w:w="493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65AB6"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USFLI&gt;=30 &amp; FIB_4&gt;=1.3</w:t>
            </w:r>
          </w:p>
        </w:tc>
        <w:tc>
          <w:tcPr>
            <w:tcW w:w="58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2DB53"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11.7(2.89, 47.6)</w:t>
            </w:r>
          </w:p>
        </w:tc>
        <w:tc>
          <w:tcPr>
            <w:tcW w:w="23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4C584"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Helvetica" w:hAnsi="Times New Roman" w:cs="Times New Roman"/>
                <w:color w:val="000000"/>
                <w:sz w:val="36"/>
                <w:szCs w:val="36"/>
              </w:rPr>
            </w:pPr>
            <w:r w:rsidRPr="0076356D">
              <w:rPr>
                <w:rFonts w:ascii="Times New Roman" w:eastAsia="Helvetica" w:hAnsi="Times New Roman" w:cs="Times New Roman"/>
                <w:color w:val="000000"/>
                <w:sz w:val="36"/>
                <w:szCs w:val="36"/>
              </w:rPr>
              <w:t>&lt;0.001</w:t>
            </w:r>
          </w:p>
        </w:tc>
      </w:tr>
      <w:tr w:rsidR="00FF3F33" w:rsidRPr="0076356D" w14:paraId="72B1D65E" w14:textId="77777777" w:rsidTr="00CC7CF6">
        <w:trPr>
          <w:trHeight w:val="1061"/>
        </w:trPr>
        <w:tc>
          <w:tcPr>
            <w:tcW w:w="493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84E6BC"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Helvetica" w:hAnsi="Times New Roman" w:cs="Times New Roman"/>
                <w:color w:val="000000"/>
                <w:sz w:val="36"/>
                <w:szCs w:val="36"/>
              </w:rPr>
            </w:pPr>
          </w:p>
        </w:tc>
        <w:tc>
          <w:tcPr>
            <w:tcW w:w="58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9473EB"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Helvetica" w:hAnsi="Times New Roman" w:cs="Times New Roman"/>
                <w:color w:val="000000"/>
                <w:sz w:val="36"/>
                <w:szCs w:val="36"/>
              </w:rPr>
            </w:pPr>
          </w:p>
        </w:tc>
        <w:tc>
          <w:tcPr>
            <w:tcW w:w="23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2FCC00" w14:textId="77777777" w:rsidR="00FF3F33" w:rsidRPr="0076356D" w:rsidRDefault="00FF3F33" w:rsidP="00F1142D">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Helvetica" w:hAnsi="Times New Roman" w:cs="Times New Roman"/>
                <w:color w:val="000000"/>
                <w:sz w:val="36"/>
                <w:szCs w:val="36"/>
              </w:rPr>
            </w:pPr>
          </w:p>
        </w:tc>
      </w:tr>
    </w:tbl>
    <w:p w14:paraId="345F2E86" w14:textId="13D3CD1B" w:rsidR="00AA02F5" w:rsidRPr="0076356D" w:rsidRDefault="00AA02F5" w:rsidP="00F1142D">
      <w:pPr>
        <w:pStyle w:val="a3"/>
        <w:spacing w:before="0" w:beforeAutospacing="0" w:after="0" w:afterAutospacing="0" w:line="480" w:lineRule="auto"/>
        <w:rPr>
          <w:rFonts w:ascii="Times New Roman" w:eastAsia="微软雅黑" w:hAnsi="Times New Roman" w:cs="Times New Roman"/>
          <w:color w:val="000000" w:themeColor="text1"/>
          <w:sz w:val="28"/>
          <w:szCs w:val="28"/>
        </w:rPr>
      </w:pPr>
      <w:r w:rsidRPr="0076356D">
        <w:rPr>
          <w:rFonts w:ascii="Times New Roman" w:hAnsi="Times New Roman" w:cs="Times New Roman"/>
          <w:b/>
          <w:bCs/>
          <w:color w:val="000000" w:themeColor="text1"/>
          <w:sz w:val="28"/>
          <w:szCs w:val="28"/>
        </w:rPr>
        <w:t>Cohort size</w:t>
      </w:r>
      <w:r w:rsidRPr="0076356D">
        <w:rPr>
          <w:rFonts w:ascii="Times New Roman" w:hAnsi="Times New Roman" w:cs="Times New Roman"/>
          <w:color w:val="000000" w:themeColor="text1"/>
          <w:sz w:val="28"/>
          <w:szCs w:val="28"/>
        </w:rPr>
        <w:t xml:space="preserve">: n = </w:t>
      </w:r>
      <w:r w:rsidR="00B348CD" w:rsidRPr="0076356D">
        <w:rPr>
          <w:rFonts w:ascii="Times New Roman" w:hAnsi="Times New Roman" w:cs="Times New Roman"/>
          <w:color w:val="000000" w:themeColor="text1"/>
          <w:sz w:val="28"/>
          <w:szCs w:val="28"/>
        </w:rPr>
        <w:t>961</w:t>
      </w:r>
      <w:r w:rsidRPr="0076356D">
        <w:rPr>
          <w:rFonts w:ascii="Times New Roman" w:hAnsi="Times New Roman" w:cs="Times New Roman"/>
          <w:color w:val="000000" w:themeColor="text1"/>
          <w:sz w:val="28"/>
          <w:szCs w:val="28"/>
        </w:rPr>
        <w:t xml:space="preserve">. Data are presented as odds ratio (OR) with 95% confidence interval (CI) and were evaluated using univariate and multivariate logistic regression analyses. The dependent variable in the logistic regression model was defined </w:t>
      </w:r>
      <w:r w:rsidRPr="0076356D">
        <w:rPr>
          <w:rFonts w:ascii="Times New Roman" w:hAnsi="Times New Roman" w:cs="Times New Roman"/>
          <w:color w:val="000000" w:themeColor="text1"/>
          <w:sz w:val="28"/>
          <w:szCs w:val="28"/>
        </w:rPr>
        <w:lastRenderedPageBreak/>
        <w:t>as membership in the combined moderate/high CVD risk group vs the low CVD risk group. The regression models were adjusted for sex, educational level, race/ethnicity, marital status, physical activity level, PIR, and the presence of CKD, defined as an eGFR &lt; 60 mL/min/1.73 m² or abnormal albuminuria.</w:t>
      </w:r>
    </w:p>
    <w:p w14:paraId="3BD1376A" w14:textId="3A484040" w:rsidR="00FF3F33" w:rsidRPr="00AA02F5" w:rsidRDefault="00FF3F33" w:rsidP="00F1142D">
      <w:pPr>
        <w:spacing w:line="480" w:lineRule="auto"/>
      </w:pPr>
    </w:p>
    <w:p w14:paraId="35334231" w14:textId="77777777" w:rsidR="00FF3F33" w:rsidRDefault="00FF3F33" w:rsidP="00F1142D">
      <w:pPr>
        <w:spacing w:line="480" w:lineRule="auto"/>
      </w:pPr>
    </w:p>
    <w:p w14:paraId="020F8F3B" w14:textId="77777777" w:rsidR="00FF3F33" w:rsidRDefault="00FF3F33" w:rsidP="00F1142D">
      <w:pPr>
        <w:spacing w:line="480" w:lineRule="auto"/>
      </w:pPr>
    </w:p>
    <w:sectPr w:rsidR="00FF3F33" w:rsidSect="00F1142D">
      <w:footerReference w:type="even" r:id="rId9"/>
      <w:footerReference w:type="default" r:id="rId10"/>
      <w:pgSz w:w="16838" w:h="11906" w:orient="landscape"/>
      <w:pgMar w:top="1800" w:right="1440" w:bottom="180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8E12" w14:textId="77777777" w:rsidR="00CB1580" w:rsidRDefault="00CB1580" w:rsidP="00F1142D">
      <w:r>
        <w:separator/>
      </w:r>
    </w:p>
  </w:endnote>
  <w:endnote w:type="continuationSeparator" w:id="0">
    <w:p w14:paraId="5839EEE7" w14:textId="77777777" w:rsidR="00CB1580" w:rsidRDefault="00CB1580" w:rsidP="00F1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Helvetica">
    <w:panose1 w:val="00000000000000000000"/>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507554314"/>
      <w:docPartObj>
        <w:docPartGallery w:val="Page Numbers (Bottom of Page)"/>
        <w:docPartUnique/>
      </w:docPartObj>
    </w:sdtPr>
    <w:sdtContent>
      <w:p w14:paraId="1461F17F" w14:textId="4DA77985" w:rsidR="00F1142D" w:rsidRDefault="00F1142D" w:rsidP="0089718E">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rPr>
          <w:fldChar w:fldCharType="end"/>
        </w:r>
      </w:p>
    </w:sdtContent>
  </w:sdt>
  <w:p w14:paraId="1A218E6F" w14:textId="77777777" w:rsidR="00F1142D" w:rsidRDefault="00F1142D" w:rsidP="00F1142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1111120723"/>
      <w:docPartObj>
        <w:docPartGallery w:val="Page Numbers (Bottom of Page)"/>
        <w:docPartUnique/>
      </w:docPartObj>
    </w:sdtPr>
    <w:sdtContent>
      <w:p w14:paraId="41E41E74" w14:textId="79D06B14" w:rsidR="00F1142D" w:rsidRDefault="00F1142D" w:rsidP="0089718E">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2</w:t>
        </w:r>
        <w:r>
          <w:rPr>
            <w:rStyle w:val="a8"/>
          </w:rPr>
          <w:fldChar w:fldCharType="end"/>
        </w:r>
      </w:p>
    </w:sdtContent>
  </w:sdt>
  <w:p w14:paraId="20A3AB02" w14:textId="77777777" w:rsidR="00F1142D" w:rsidRDefault="00F1142D" w:rsidP="00F1142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24B5" w14:textId="77777777" w:rsidR="00CB1580" w:rsidRDefault="00CB1580" w:rsidP="00F1142D">
      <w:r>
        <w:separator/>
      </w:r>
    </w:p>
  </w:footnote>
  <w:footnote w:type="continuationSeparator" w:id="0">
    <w:p w14:paraId="39343D63" w14:textId="77777777" w:rsidR="00CB1580" w:rsidRDefault="00CB1580" w:rsidP="00F11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C4"/>
    <w:rsid w:val="000943B7"/>
    <w:rsid w:val="0019466E"/>
    <w:rsid w:val="001A624D"/>
    <w:rsid w:val="001F7A09"/>
    <w:rsid w:val="002D2E97"/>
    <w:rsid w:val="002F7925"/>
    <w:rsid w:val="003F2BEF"/>
    <w:rsid w:val="00416CC4"/>
    <w:rsid w:val="004839A6"/>
    <w:rsid w:val="0061099B"/>
    <w:rsid w:val="00631738"/>
    <w:rsid w:val="006F2FD1"/>
    <w:rsid w:val="007110B1"/>
    <w:rsid w:val="0076356D"/>
    <w:rsid w:val="00843C5F"/>
    <w:rsid w:val="00921B91"/>
    <w:rsid w:val="00955B6C"/>
    <w:rsid w:val="00A27336"/>
    <w:rsid w:val="00A30605"/>
    <w:rsid w:val="00A47067"/>
    <w:rsid w:val="00A608F9"/>
    <w:rsid w:val="00AA02F5"/>
    <w:rsid w:val="00AE54EE"/>
    <w:rsid w:val="00B348CD"/>
    <w:rsid w:val="00B838F5"/>
    <w:rsid w:val="00BE2093"/>
    <w:rsid w:val="00C273AA"/>
    <w:rsid w:val="00CB1580"/>
    <w:rsid w:val="00D02D90"/>
    <w:rsid w:val="00D526AB"/>
    <w:rsid w:val="00DF5101"/>
    <w:rsid w:val="00E93F79"/>
    <w:rsid w:val="00F1142D"/>
    <w:rsid w:val="00FA65B5"/>
    <w:rsid w:val="00FF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42D8"/>
  <w15:chartTrackingRefBased/>
  <w15:docId w15:val="{7DEAB762-FA65-AE4A-9F16-103B0299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19466E"/>
    <w:pPr>
      <w:widowControl/>
      <w:spacing w:before="100" w:beforeAutospacing="1" w:after="100" w:afterAutospacing="1"/>
      <w:jc w:val="left"/>
    </w:pPr>
    <w:rPr>
      <w:rFonts w:ascii="宋体" w:eastAsia="宋体" w:hAnsi="宋体" w:cs="宋体"/>
      <w:kern w:val="0"/>
      <w:sz w:val="24"/>
      <w14:ligatures w14:val="none"/>
    </w:rPr>
  </w:style>
  <w:style w:type="character" w:customStyle="1" w:styleId="a4">
    <w:name w:val="普通(网站) 字符"/>
    <w:basedOn w:val="a0"/>
    <w:link w:val="a3"/>
    <w:uiPriority w:val="99"/>
    <w:rsid w:val="00A30605"/>
    <w:rPr>
      <w:rFonts w:ascii="宋体" w:eastAsia="宋体" w:hAnsi="宋体" w:cs="宋体"/>
      <w:kern w:val="0"/>
      <w:sz w:val="24"/>
      <w14:ligatures w14:val="none"/>
    </w:rPr>
  </w:style>
  <w:style w:type="character" w:styleId="a5">
    <w:name w:val="line number"/>
    <w:basedOn w:val="a0"/>
    <w:uiPriority w:val="99"/>
    <w:semiHidden/>
    <w:unhideWhenUsed/>
    <w:rsid w:val="00F1142D"/>
  </w:style>
  <w:style w:type="paragraph" w:styleId="a6">
    <w:name w:val="footer"/>
    <w:basedOn w:val="a"/>
    <w:link w:val="a7"/>
    <w:uiPriority w:val="99"/>
    <w:unhideWhenUsed/>
    <w:rsid w:val="00F1142D"/>
    <w:pPr>
      <w:tabs>
        <w:tab w:val="center" w:pos="4153"/>
        <w:tab w:val="right" w:pos="8306"/>
      </w:tabs>
      <w:snapToGrid w:val="0"/>
      <w:jc w:val="left"/>
    </w:pPr>
    <w:rPr>
      <w:sz w:val="18"/>
      <w:szCs w:val="18"/>
    </w:rPr>
  </w:style>
  <w:style w:type="character" w:customStyle="1" w:styleId="a7">
    <w:name w:val="页脚 字符"/>
    <w:basedOn w:val="a0"/>
    <w:link w:val="a6"/>
    <w:uiPriority w:val="99"/>
    <w:rsid w:val="00F1142D"/>
    <w:rPr>
      <w:sz w:val="18"/>
      <w:szCs w:val="18"/>
    </w:rPr>
  </w:style>
  <w:style w:type="character" w:styleId="a8">
    <w:name w:val="page number"/>
    <w:basedOn w:val="a0"/>
    <w:uiPriority w:val="99"/>
    <w:semiHidden/>
    <w:unhideWhenUsed/>
    <w:rsid w:val="00F11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15</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Friden Sidren</dc:creator>
  <cp:keywords/>
  <dc:description/>
  <cp:lastModifiedBy>Friden Sidren</cp:lastModifiedBy>
  <cp:revision>15</cp:revision>
  <dcterms:created xsi:type="dcterms:W3CDTF">2025-06-08T12:35:00Z</dcterms:created>
  <dcterms:modified xsi:type="dcterms:W3CDTF">2025-06-11T06:52:00Z</dcterms:modified>
</cp:coreProperties>
</file>