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A2A8" w14:textId="3FF7980D" w:rsidR="00C61AC7" w:rsidRPr="00C61AC7" w:rsidRDefault="00C61AC7" w:rsidP="00C61AC7">
      <w:pPr>
        <w:jc w:val="both"/>
        <w:rPr>
          <w:rFonts w:ascii="Times New Roman" w:hAnsi="Times New Roman" w:cs="Times New Roman"/>
          <w:b/>
          <w:bCs/>
        </w:rPr>
      </w:pPr>
      <w:r w:rsidRPr="00C61AC7">
        <w:rPr>
          <w:rFonts w:ascii="Times New Roman" w:hAnsi="Times New Roman" w:cs="Times New Roman"/>
          <w:b/>
          <w:bCs/>
        </w:rPr>
        <w:t xml:space="preserve">Supplementary Note </w:t>
      </w:r>
      <w:r>
        <w:rPr>
          <w:rFonts w:ascii="Times New Roman" w:hAnsi="Times New Roman" w:cs="Times New Roman" w:hint="eastAsia"/>
          <w:b/>
          <w:bCs/>
        </w:rPr>
        <w:t>1</w:t>
      </w:r>
      <w:r w:rsidRPr="00C61AC7">
        <w:rPr>
          <w:rFonts w:ascii="Times New Roman" w:hAnsi="Times New Roman" w:cs="Times New Roman"/>
          <w:b/>
          <w:bCs/>
        </w:rPr>
        <w:t xml:space="preserve">: </w:t>
      </w:r>
      <w:r w:rsidR="000268E0" w:rsidRPr="00C61AC7">
        <w:rPr>
          <w:rFonts w:ascii="Times New Roman" w:hAnsi="Times New Roman" w:cs="Times New Roman"/>
          <w:b/>
          <w:bCs/>
        </w:rPr>
        <w:t>E3ME Series</w:t>
      </w:r>
    </w:p>
    <w:p w14:paraId="745140DB" w14:textId="14A556D3" w:rsidR="000268E0" w:rsidRPr="00C61AC7" w:rsidRDefault="000268E0" w:rsidP="00C61AC7">
      <w:pPr>
        <w:jc w:val="both"/>
        <w:rPr>
          <w:rFonts w:ascii="Times New Roman" w:hAnsi="Times New Roman" w:cs="Times New Roman"/>
        </w:rPr>
      </w:pPr>
      <w:r w:rsidRPr="00C61AC7">
        <w:rPr>
          <w:rFonts w:ascii="Times New Roman" w:hAnsi="Times New Roman" w:cs="Times New Roman"/>
        </w:rPr>
        <w:t>The E3ME (Energy-Environment-Economy Macro-Econometric) model is a highly disaggregated, multi-sector, and multi-region, demand-driven global macro</w:t>
      </w:r>
      <w:r w:rsidR="00C41D7B">
        <w:rPr>
          <w:rFonts w:ascii="Times New Roman" w:hAnsi="Times New Roman" w:cs="Times New Roman" w:hint="eastAsia"/>
        </w:rPr>
        <w:t xml:space="preserve"> </w:t>
      </w:r>
      <w:r w:rsidRPr="00C61AC7">
        <w:rPr>
          <w:rFonts w:ascii="Times New Roman" w:hAnsi="Times New Roman" w:cs="Times New Roman"/>
        </w:rPr>
        <w:t>econometric and dynamic input-output model. This model has been widely applied in fields such as climate policy, energy transition, and industrial restructuring</w:t>
      </w:r>
      <w:r w:rsidR="00D1081A" w:rsidRPr="00D1081A">
        <w:rPr>
          <w:rFonts w:ascii="Times New Roman" w:hAnsi="Times New Roman" w:cs="Times New Roman"/>
          <w:vertAlign w:val="superscript"/>
        </w:rPr>
        <w:fldChar w:fldCharType="begin"/>
      </w:r>
      <w:r w:rsidR="00D1081A" w:rsidRPr="00D1081A">
        <w:rPr>
          <w:rFonts w:ascii="Times New Roman" w:hAnsi="Times New Roman" w:cs="Times New Roman"/>
          <w:vertAlign w:val="superscript"/>
        </w:rPr>
        <w:instrText xml:space="preserve"> REF _Ref196754942 \r \h </w:instrText>
      </w:r>
      <w:r w:rsidR="00D1081A">
        <w:rPr>
          <w:rFonts w:ascii="Times New Roman" w:hAnsi="Times New Roman" w:cs="Times New Roman"/>
          <w:vertAlign w:val="superscript"/>
        </w:rPr>
        <w:instrText xml:space="preserve"> \* MERGEFORMAT </w:instrText>
      </w:r>
      <w:r w:rsidR="00D1081A" w:rsidRPr="00D1081A">
        <w:rPr>
          <w:rFonts w:ascii="Times New Roman" w:hAnsi="Times New Roman" w:cs="Times New Roman"/>
          <w:vertAlign w:val="superscript"/>
        </w:rPr>
      </w:r>
      <w:r w:rsidR="00D1081A" w:rsidRPr="00D1081A">
        <w:rPr>
          <w:rFonts w:ascii="Times New Roman" w:hAnsi="Times New Roman" w:cs="Times New Roman"/>
          <w:vertAlign w:val="superscript"/>
        </w:rPr>
        <w:fldChar w:fldCharType="separate"/>
      </w:r>
      <w:r w:rsidR="00D1081A" w:rsidRPr="00D1081A">
        <w:rPr>
          <w:rFonts w:ascii="Times New Roman" w:hAnsi="Times New Roman" w:cs="Times New Roman"/>
          <w:vertAlign w:val="superscript"/>
        </w:rPr>
        <w:t>1</w:t>
      </w:r>
      <w:r w:rsidR="00D1081A" w:rsidRPr="00D1081A">
        <w:rPr>
          <w:rFonts w:ascii="Times New Roman" w:hAnsi="Times New Roman" w:cs="Times New Roman"/>
          <w:vertAlign w:val="superscript"/>
        </w:rPr>
        <w:fldChar w:fldCharType="end"/>
      </w:r>
      <w:r w:rsidR="00D1081A" w:rsidRPr="00D1081A">
        <w:rPr>
          <w:rFonts w:ascii="Times New Roman" w:hAnsi="Times New Roman" w:cs="Times New Roman" w:hint="eastAsia"/>
          <w:vertAlign w:val="superscript"/>
        </w:rPr>
        <w:t>,</w:t>
      </w:r>
      <w:r w:rsidR="00D1081A" w:rsidRPr="00D1081A">
        <w:rPr>
          <w:rFonts w:ascii="Times New Roman" w:hAnsi="Times New Roman" w:cs="Times New Roman"/>
          <w:vertAlign w:val="superscript"/>
        </w:rPr>
        <w:fldChar w:fldCharType="begin"/>
      </w:r>
      <w:r w:rsidR="00D1081A" w:rsidRPr="00D1081A">
        <w:rPr>
          <w:rFonts w:ascii="Times New Roman" w:hAnsi="Times New Roman" w:cs="Times New Roman"/>
          <w:vertAlign w:val="superscript"/>
        </w:rPr>
        <w:instrText xml:space="preserve"> REF _Ref196754943 \r \h </w:instrText>
      </w:r>
      <w:r w:rsidR="00D1081A">
        <w:rPr>
          <w:rFonts w:ascii="Times New Roman" w:hAnsi="Times New Roman" w:cs="Times New Roman"/>
          <w:vertAlign w:val="superscript"/>
        </w:rPr>
        <w:instrText xml:space="preserve"> \* MERGEFORMAT </w:instrText>
      </w:r>
      <w:r w:rsidR="00D1081A" w:rsidRPr="00D1081A">
        <w:rPr>
          <w:rFonts w:ascii="Times New Roman" w:hAnsi="Times New Roman" w:cs="Times New Roman"/>
          <w:vertAlign w:val="superscript"/>
        </w:rPr>
      </w:r>
      <w:r w:rsidR="00D1081A" w:rsidRPr="00D1081A">
        <w:rPr>
          <w:rFonts w:ascii="Times New Roman" w:hAnsi="Times New Roman" w:cs="Times New Roman"/>
          <w:vertAlign w:val="superscript"/>
        </w:rPr>
        <w:fldChar w:fldCharType="separate"/>
      </w:r>
      <w:r w:rsidR="00D1081A" w:rsidRPr="00D1081A">
        <w:rPr>
          <w:rFonts w:ascii="Times New Roman" w:hAnsi="Times New Roman" w:cs="Times New Roman"/>
          <w:vertAlign w:val="superscript"/>
        </w:rPr>
        <w:t>2</w:t>
      </w:r>
      <w:r w:rsidR="00D1081A" w:rsidRPr="00D1081A">
        <w:rPr>
          <w:rFonts w:ascii="Times New Roman" w:hAnsi="Times New Roman" w:cs="Times New Roman"/>
          <w:vertAlign w:val="superscript"/>
        </w:rPr>
        <w:fldChar w:fldCharType="end"/>
      </w:r>
      <w:r w:rsidR="00D1081A" w:rsidRPr="00D1081A">
        <w:rPr>
          <w:rFonts w:ascii="Times New Roman" w:hAnsi="Times New Roman" w:cs="Times New Roman" w:hint="eastAsia"/>
          <w:vertAlign w:val="superscript"/>
        </w:rPr>
        <w:t>,</w:t>
      </w:r>
      <w:r w:rsidR="00D1081A" w:rsidRPr="00D1081A">
        <w:rPr>
          <w:rFonts w:ascii="Times New Roman" w:hAnsi="Times New Roman" w:cs="Times New Roman"/>
          <w:vertAlign w:val="superscript"/>
        </w:rPr>
        <w:fldChar w:fldCharType="begin"/>
      </w:r>
      <w:r w:rsidR="00D1081A" w:rsidRPr="00D1081A">
        <w:rPr>
          <w:rFonts w:ascii="Times New Roman" w:hAnsi="Times New Roman" w:cs="Times New Roman"/>
          <w:vertAlign w:val="superscript"/>
        </w:rPr>
        <w:instrText xml:space="preserve"> REF _Ref196754944 \r \h </w:instrText>
      </w:r>
      <w:r w:rsidR="00D1081A">
        <w:rPr>
          <w:rFonts w:ascii="Times New Roman" w:hAnsi="Times New Roman" w:cs="Times New Roman"/>
          <w:vertAlign w:val="superscript"/>
        </w:rPr>
        <w:instrText xml:space="preserve"> \* MERGEFORMAT </w:instrText>
      </w:r>
      <w:r w:rsidR="00D1081A" w:rsidRPr="00D1081A">
        <w:rPr>
          <w:rFonts w:ascii="Times New Roman" w:hAnsi="Times New Roman" w:cs="Times New Roman"/>
          <w:vertAlign w:val="superscript"/>
        </w:rPr>
      </w:r>
      <w:r w:rsidR="00D1081A" w:rsidRPr="00D1081A">
        <w:rPr>
          <w:rFonts w:ascii="Times New Roman" w:hAnsi="Times New Roman" w:cs="Times New Roman"/>
          <w:vertAlign w:val="superscript"/>
        </w:rPr>
        <w:fldChar w:fldCharType="separate"/>
      </w:r>
      <w:r w:rsidR="00D1081A" w:rsidRPr="00D1081A">
        <w:rPr>
          <w:rFonts w:ascii="Times New Roman" w:hAnsi="Times New Roman" w:cs="Times New Roman"/>
          <w:vertAlign w:val="superscript"/>
        </w:rPr>
        <w:t>3</w:t>
      </w:r>
      <w:r w:rsidR="00D1081A" w:rsidRPr="00D1081A">
        <w:rPr>
          <w:rFonts w:ascii="Times New Roman" w:hAnsi="Times New Roman" w:cs="Times New Roman"/>
          <w:vertAlign w:val="superscript"/>
        </w:rPr>
        <w:fldChar w:fldCharType="end"/>
      </w:r>
      <w:r w:rsidRPr="00FF4105">
        <w:rPr>
          <w:rFonts w:ascii="Times New Roman" w:hAnsi="Times New Roman" w:cs="Times New Roman"/>
          <w:i/>
          <w:iCs/>
        </w:rPr>
        <w:t>.</w:t>
      </w:r>
      <w:r w:rsidRPr="00C61AC7">
        <w:rPr>
          <w:rFonts w:ascii="Times New Roman" w:hAnsi="Times New Roman" w:cs="Times New Roman"/>
        </w:rPr>
        <w:t xml:space="preserve"> The E3ME model covers 71 regions globally, including all EU member states and G20 countries, and further subdivides each region into 43 economic sectors (with up to 70 sectors in the EU and the UK). Economic connections between global regions are established through bilateral trade equations, and the supply-demand relationships between sectors are modeled using input-output tables.</w:t>
      </w:r>
    </w:p>
    <w:p w14:paraId="30E66677" w14:textId="12973D84" w:rsidR="00D25448" w:rsidRDefault="000268E0" w:rsidP="000425F2">
      <w:pPr>
        <w:jc w:val="both"/>
        <w:rPr>
          <w:rFonts w:ascii="Times New Roman" w:hAnsi="Times New Roman" w:cs="Times New Roman"/>
        </w:rPr>
      </w:pPr>
      <w:r w:rsidRPr="000268E0">
        <w:rPr>
          <w:rFonts w:ascii="Times New Roman" w:hAnsi="Times New Roman" w:cs="Times New Roman"/>
        </w:rPr>
        <w:t>The E3ME model is built upon a highly empirical set of econometric regression equations. Core variables such as consumption, investment, employment, wages, prices, imports, and capacity expansion are estimated using historical data, and an Error Correction Mechanism (ECM) is used to ensure that short-term dynamic results converge to long-term trends. The model is demand-driven, meaning that demand for final goods and services is estimated first, and then the supply of intermediate goods required to meet this demand is determined using input-output tables and bilateral trade relationships between all regions, thereby representing the complete economic circulation. Unlike traditional general equilibrium models, E3ME is based on post-Keynesian economic theory and does not assume market equilibrium. Instead, it allows for the presence of unemployed labor and idle capacity, capturing the economic growth effects once these idle resources are utilized. Moreover, technological progress in the E3ME model is endogenous, driven by cumulative investment and research and development (R&amp;D) expenditure, forming a dynamic feedback loop between investment, technology, prices, consumption, output, and investment.</w:t>
      </w:r>
      <w:r w:rsidR="00731399" w:rsidRPr="00731399">
        <w:rPr>
          <w:rFonts w:ascii="Times New Roman" w:hAnsi="Times New Roman" w:cs="Times New Roman"/>
        </w:rPr>
        <w:t xml:space="preserve"> The full set of equations underpinning the framework is given and explained in Mercure et al.</w:t>
      </w:r>
      <w:r w:rsidR="00D1081A" w:rsidRPr="00D1081A">
        <w:rPr>
          <w:rFonts w:ascii="Times New Roman" w:hAnsi="Times New Roman" w:cs="Times New Roman"/>
          <w:vertAlign w:val="superscript"/>
        </w:rPr>
        <w:fldChar w:fldCharType="begin"/>
      </w:r>
      <w:r w:rsidR="00D1081A" w:rsidRPr="00D1081A">
        <w:rPr>
          <w:rFonts w:ascii="Times New Roman" w:hAnsi="Times New Roman" w:cs="Times New Roman"/>
          <w:vertAlign w:val="superscript"/>
        </w:rPr>
        <w:instrText xml:space="preserve"> REF _Ref196754965 \r \h  \* MERGEFORMAT </w:instrText>
      </w:r>
      <w:r w:rsidR="00D1081A" w:rsidRPr="00D1081A">
        <w:rPr>
          <w:rFonts w:ascii="Times New Roman" w:hAnsi="Times New Roman" w:cs="Times New Roman"/>
          <w:vertAlign w:val="superscript"/>
        </w:rPr>
      </w:r>
      <w:r w:rsidR="00D1081A" w:rsidRPr="00D1081A">
        <w:rPr>
          <w:rFonts w:ascii="Times New Roman" w:hAnsi="Times New Roman" w:cs="Times New Roman"/>
          <w:vertAlign w:val="superscript"/>
        </w:rPr>
        <w:fldChar w:fldCharType="separate"/>
      </w:r>
      <w:r w:rsidR="00D1081A" w:rsidRPr="00D1081A">
        <w:rPr>
          <w:rFonts w:ascii="Times New Roman" w:hAnsi="Times New Roman" w:cs="Times New Roman"/>
          <w:vertAlign w:val="superscript"/>
        </w:rPr>
        <w:t>4</w:t>
      </w:r>
      <w:r w:rsidR="00D1081A" w:rsidRPr="00D1081A">
        <w:rPr>
          <w:rFonts w:ascii="Times New Roman" w:hAnsi="Times New Roman" w:cs="Times New Roman"/>
          <w:vertAlign w:val="superscript"/>
        </w:rPr>
        <w:fldChar w:fldCharType="end"/>
      </w:r>
      <w:r w:rsidR="00D1081A">
        <w:rPr>
          <w:rFonts w:ascii="Times New Roman" w:hAnsi="Times New Roman" w:cs="Times New Roman" w:hint="eastAsia"/>
        </w:rPr>
        <w:t xml:space="preserve"> </w:t>
      </w:r>
      <w:r w:rsidR="009B0019">
        <w:rPr>
          <w:rFonts w:ascii="Times New Roman" w:hAnsi="Times New Roman" w:cs="Times New Roman" w:hint="eastAsia"/>
        </w:rPr>
        <w:t xml:space="preserve">and </w:t>
      </w:r>
      <w:r w:rsidR="009B0019" w:rsidRPr="009B0019">
        <w:rPr>
          <w:rFonts w:ascii="Times New Roman" w:hAnsi="Times New Roman" w:cs="Times New Roman" w:hint="eastAsia"/>
        </w:rPr>
        <w:t>E3ME Model Manual</w:t>
      </w:r>
      <w:r w:rsidR="00D1081A" w:rsidRPr="00D1081A">
        <w:rPr>
          <w:rFonts w:ascii="Times New Roman" w:hAnsi="Times New Roman" w:cs="Times New Roman"/>
          <w:vertAlign w:val="superscript"/>
        </w:rPr>
        <w:fldChar w:fldCharType="begin"/>
      </w:r>
      <w:r w:rsidR="00D1081A" w:rsidRPr="00D1081A">
        <w:rPr>
          <w:rFonts w:ascii="Times New Roman" w:hAnsi="Times New Roman" w:cs="Times New Roman"/>
          <w:vertAlign w:val="superscript"/>
        </w:rPr>
        <w:instrText xml:space="preserve"> </w:instrText>
      </w:r>
      <w:r w:rsidR="00D1081A" w:rsidRPr="00D1081A">
        <w:rPr>
          <w:rFonts w:ascii="Times New Roman" w:hAnsi="Times New Roman" w:cs="Times New Roman" w:hint="eastAsia"/>
          <w:vertAlign w:val="superscript"/>
        </w:rPr>
        <w:instrText>REF _Ref196754970 \r \h</w:instrText>
      </w:r>
      <w:r w:rsidR="00D1081A" w:rsidRPr="00D1081A">
        <w:rPr>
          <w:rFonts w:ascii="Times New Roman" w:hAnsi="Times New Roman" w:cs="Times New Roman"/>
          <w:vertAlign w:val="superscript"/>
        </w:rPr>
        <w:instrText xml:space="preserve"> </w:instrText>
      </w:r>
      <w:r w:rsidR="00D1081A">
        <w:rPr>
          <w:rFonts w:ascii="Times New Roman" w:hAnsi="Times New Roman" w:cs="Times New Roman"/>
          <w:vertAlign w:val="superscript"/>
        </w:rPr>
        <w:instrText xml:space="preserve"> \* MERGEFORMAT </w:instrText>
      </w:r>
      <w:r w:rsidR="00D1081A" w:rsidRPr="00D1081A">
        <w:rPr>
          <w:rFonts w:ascii="Times New Roman" w:hAnsi="Times New Roman" w:cs="Times New Roman"/>
          <w:vertAlign w:val="superscript"/>
        </w:rPr>
      </w:r>
      <w:r w:rsidR="00D1081A" w:rsidRPr="00D1081A">
        <w:rPr>
          <w:rFonts w:ascii="Times New Roman" w:hAnsi="Times New Roman" w:cs="Times New Roman"/>
          <w:vertAlign w:val="superscript"/>
        </w:rPr>
        <w:fldChar w:fldCharType="separate"/>
      </w:r>
      <w:r w:rsidR="00D1081A" w:rsidRPr="00D1081A">
        <w:rPr>
          <w:rFonts w:ascii="Times New Roman" w:hAnsi="Times New Roman" w:cs="Times New Roman"/>
          <w:vertAlign w:val="superscript"/>
        </w:rPr>
        <w:t>5</w:t>
      </w:r>
      <w:r w:rsidR="00D1081A" w:rsidRPr="00D1081A">
        <w:rPr>
          <w:rFonts w:ascii="Times New Roman" w:hAnsi="Times New Roman" w:cs="Times New Roman"/>
          <w:vertAlign w:val="superscript"/>
        </w:rPr>
        <w:fldChar w:fldCharType="end"/>
      </w:r>
      <w:r w:rsidR="009B0019">
        <w:rPr>
          <w:rFonts w:ascii="Times New Roman" w:hAnsi="Times New Roman" w:cs="Times New Roman" w:hint="eastAsia"/>
        </w:rPr>
        <w:t>.</w:t>
      </w:r>
      <w:r w:rsidR="00731399" w:rsidRPr="00731399">
        <w:rPr>
          <w:rFonts w:ascii="Times New Roman" w:hAnsi="Times New Roman" w:cs="Times New Roman"/>
        </w:rPr>
        <w:t xml:space="preserve"> Assumptions for all scenarios are described in Supplementary Note</w:t>
      </w:r>
      <w:r w:rsidR="000425F2">
        <w:rPr>
          <w:rFonts w:ascii="Times New Roman" w:hAnsi="Times New Roman" w:cs="Times New Roman" w:hint="eastAsia"/>
        </w:rPr>
        <w:t xml:space="preserve"> 3.</w:t>
      </w:r>
    </w:p>
    <w:p w14:paraId="7A0F2BAE" w14:textId="77777777" w:rsidR="00633B84" w:rsidRDefault="00633B84" w:rsidP="00C61AC7">
      <w:pPr>
        <w:jc w:val="both"/>
        <w:rPr>
          <w:rFonts w:ascii="Times New Roman" w:hAnsi="Times New Roman" w:cs="Times New Roman"/>
        </w:rPr>
      </w:pPr>
    </w:p>
    <w:p w14:paraId="0F377587" w14:textId="4D4FC942" w:rsidR="000A3F6C" w:rsidRDefault="00633B84" w:rsidP="00C61AC7">
      <w:pPr>
        <w:jc w:val="both"/>
        <w:rPr>
          <w:rFonts w:ascii="Times New Roman" w:hAnsi="Times New Roman" w:cs="Times New Roman"/>
          <w:b/>
          <w:bCs/>
        </w:rPr>
      </w:pPr>
      <w:bookmarkStart w:id="0" w:name="_Hlk197179127"/>
      <w:bookmarkStart w:id="1" w:name="_Hlk193559267"/>
      <w:r w:rsidRPr="00C61AC7">
        <w:rPr>
          <w:rFonts w:ascii="Times New Roman" w:hAnsi="Times New Roman" w:cs="Times New Roman"/>
          <w:b/>
          <w:bCs/>
        </w:rPr>
        <w:t>Supplementary Note</w:t>
      </w:r>
      <w:r>
        <w:rPr>
          <w:rFonts w:ascii="Times New Roman" w:hAnsi="Times New Roman" w:cs="Times New Roman" w:hint="eastAsia"/>
          <w:b/>
          <w:bCs/>
        </w:rPr>
        <w:t xml:space="preserve"> 2</w:t>
      </w:r>
      <w:bookmarkEnd w:id="0"/>
      <w:r w:rsidR="00F553B4">
        <w:rPr>
          <w:rFonts w:ascii="Times New Roman" w:hAnsi="Times New Roman" w:cs="Times New Roman" w:hint="eastAsia"/>
          <w:b/>
          <w:bCs/>
        </w:rPr>
        <w:t xml:space="preserve">: </w:t>
      </w:r>
      <w:bookmarkEnd w:id="1"/>
      <w:r w:rsidRPr="00633B84">
        <w:rPr>
          <w:rFonts w:ascii="Times New Roman" w:hAnsi="Times New Roman" w:cs="Times New Roman"/>
          <w:b/>
          <w:bCs/>
        </w:rPr>
        <w:t>FTT Module</w:t>
      </w:r>
    </w:p>
    <w:p w14:paraId="24C64EAB" w14:textId="3796066C" w:rsidR="004E7C41" w:rsidRDefault="00633B84" w:rsidP="00C61AC7">
      <w:pPr>
        <w:jc w:val="both"/>
        <w:rPr>
          <w:rFonts w:ascii="Times New Roman" w:hAnsi="Times New Roman" w:cs="Times New Roman"/>
        </w:rPr>
      </w:pPr>
      <w:r w:rsidRPr="00633B84">
        <w:rPr>
          <w:rFonts w:ascii="Times New Roman" w:hAnsi="Times New Roman" w:cs="Times New Roman"/>
        </w:rPr>
        <w:t>To simulate the technological diffusion details in the energy and industrial sectors, E3ME integrates the FTT model (Future Technology Transformations). For example, in the power sector, the FTT model can be used to predict the process of renewable energy replacing fossil fuels, while in the industrial sector, the FTT model can assess how new technologies (such as hydrogen metallurgy and electric arc furnaces) impact the production methods, cost structures</w:t>
      </w:r>
      <w:r w:rsidR="005165FE" w:rsidRPr="005165FE">
        <w:rPr>
          <w:rFonts w:ascii="Times New Roman" w:hAnsi="Times New Roman" w:cs="Times New Roman"/>
          <w:vertAlign w:val="superscript"/>
        </w:rPr>
        <w:fldChar w:fldCharType="begin"/>
      </w:r>
      <w:r w:rsidR="005165FE" w:rsidRPr="005165FE">
        <w:rPr>
          <w:rFonts w:ascii="Times New Roman" w:hAnsi="Times New Roman" w:cs="Times New Roman"/>
          <w:vertAlign w:val="superscript"/>
        </w:rPr>
        <w:instrText xml:space="preserve"> REF _Ref196755197 \r \h </w:instrText>
      </w:r>
      <w:r w:rsidR="005165FE">
        <w:rPr>
          <w:rFonts w:ascii="Times New Roman" w:hAnsi="Times New Roman" w:cs="Times New Roman"/>
          <w:vertAlign w:val="superscript"/>
        </w:rPr>
        <w:instrText xml:space="preserve"> \* MERGEFORMAT </w:instrText>
      </w:r>
      <w:r w:rsidR="005165FE" w:rsidRPr="005165FE">
        <w:rPr>
          <w:rFonts w:ascii="Times New Roman" w:hAnsi="Times New Roman" w:cs="Times New Roman"/>
          <w:vertAlign w:val="superscript"/>
        </w:rPr>
      </w:r>
      <w:r w:rsidR="005165FE" w:rsidRPr="005165FE">
        <w:rPr>
          <w:rFonts w:ascii="Times New Roman" w:hAnsi="Times New Roman" w:cs="Times New Roman"/>
          <w:vertAlign w:val="superscript"/>
        </w:rPr>
        <w:fldChar w:fldCharType="separate"/>
      </w:r>
      <w:r w:rsidR="005165FE" w:rsidRPr="005165FE">
        <w:rPr>
          <w:rFonts w:ascii="Times New Roman" w:hAnsi="Times New Roman" w:cs="Times New Roman"/>
          <w:vertAlign w:val="superscript"/>
        </w:rPr>
        <w:t>6</w:t>
      </w:r>
      <w:r w:rsidR="005165FE" w:rsidRPr="005165FE">
        <w:rPr>
          <w:rFonts w:ascii="Times New Roman" w:hAnsi="Times New Roman" w:cs="Times New Roman"/>
          <w:vertAlign w:val="superscript"/>
        </w:rPr>
        <w:fldChar w:fldCharType="end"/>
      </w:r>
      <w:r w:rsidR="005165FE" w:rsidRPr="005165FE">
        <w:rPr>
          <w:rFonts w:ascii="Times New Roman" w:hAnsi="Times New Roman" w:cs="Times New Roman" w:hint="eastAsia"/>
          <w:vertAlign w:val="superscript"/>
        </w:rPr>
        <w:t>,</w:t>
      </w:r>
      <w:r w:rsidR="005165FE" w:rsidRPr="005165FE">
        <w:rPr>
          <w:rFonts w:ascii="Times New Roman" w:hAnsi="Times New Roman" w:cs="Times New Roman"/>
          <w:vertAlign w:val="superscript"/>
        </w:rPr>
        <w:fldChar w:fldCharType="begin"/>
      </w:r>
      <w:r w:rsidR="005165FE" w:rsidRPr="005165FE">
        <w:rPr>
          <w:rFonts w:ascii="Times New Roman" w:hAnsi="Times New Roman" w:cs="Times New Roman"/>
          <w:vertAlign w:val="superscript"/>
        </w:rPr>
        <w:instrText xml:space="preserve"> REF _Ref196755198 \r \h </w:instrText>
      </w:r>
      <w:r w:rsidR="005165FE">
        <w:rPr>
          <w:rFonts w:ascii="Times New Roman" w:hAnsi="Times New Roman" w:cs="Times New Roman"/>
          <w:vertAlign w:val="superscript"/>
        </w:rPr>
        <w:instrText xml:space="preserve"> \* MERGEFORMAT </w:instrText>
      </w:r>
      <w:r w:rsidR="005165FE" w:rsidRPr="005165FE">
        <w:rPr>
          <w:rFonts w:ascii="Times New Roman" w:hAnsi="Times New Roman" w:cs="Times New Roman"/>
          <w:vertAlign w:val="superscript"/>
        </w:rPr>
      </w:r>
      <w:r w:rsidR="005165FE" w:rsidRPr="005165FE">
        <w:rPr>
          <w:rFonts w:ascii="Times New Roman" w:hAnsi="Times New Roman" w:cs="Times New Roman"/>
          <w:vertAlign w:val="superscript"/>
        </w:rPr>
        <w:fldChar w:fldCharType="separate"/>
      </w:r>
      <w:r w:rsidR="005165FE" w:rsidRPr="005165FE">
        <w:rPr>
          <w:rFonts w:ascii="Times New Roman" w:hAnsi="Times New Roman" w:cs="Times New Roman"/>
          <w:vertAlign w:val="superscript"/>
        </w:rPr>
        <w:t>7</w:t>
      </w:r>
      <w:r w:rsidR="005165FE" w:rsidRPr="005165FE">
        <w:rPr>
          <w:rFonts w:ascii="Times New Roman" w:hAnsi="Times New Roman" w:cs="Times New Roman"/>
          <w:vertAlign w:val="superscript"/>
        </w:rPr>
        <w:fldChar w:fldCharType="end"/>
      </w:r>
      <w:r w:rsidR="001A051B">
        <w:rPr>
          <w:rFonts w:ascii="Times New Roman" w:hAnsi="Times New Roman" w:cs="Times New Roman" w:hint="eastAsia"/>
        </w:rPr>
        <w:t>.</w:t>
      </w:r>
    </w:p>
    <w:p w14:paraId="689AE029" w14:textId="77777777" w:rsidR="000A3F6C" w:rsidRPr="000A3F6C" w:rsidRDefault="000A3F6C" w:rsidP="000A3F6C">
      <w:pPr>
        <w:jc w:val="both"/>
        <w:rPr>
          <w:rFonts w:ascii="Times New Roman" w:hAnsi="Times New Roman" w:cs="Times New Roman"/>
        </w:rPr>
      </w:pPr>
      <w:r w:rsidRPr="000A3F6C">
        <w:rPr>
          <w:rFonts w:ascii="Times New Roman" w:hAnsi="Times New Roman" w:cs="Times New Roman"/>
        </w:rPr>
        <w:t xml:space="preserve">The FTT (Future Technology Transformations) model does not use simple cost optimization methods but instead employs Lotka-Volterra competition equations (a nonlinear differential equation used to describe species competition). This approach allows technology diffusion to accumulate gradually over time, rather than happening instantaneously. The FTT model </w:t>
      </w:r>
      <w:r w:rsidRPr="000A3F6C">
        <w:rPr>
          <w:rFonts w:ascii="Times New Roman" w:hAnsi="Times New Roman" w:cs="Times New Roman"/>
        </w:rPr>
        <w:lastRenderedPageBreak/>
        <w:t>assumes that agents (enterprises or individuals) are influenced by their preferences when comparing different technology options in the market. These preferences are not solely based on the lowest cost principle but are also influenced by factors such as market dominance, user experience, and infrastructure availability. Investor preferences, together with replacement frequency and lagging market share, determine new market shares through competition. The following formula illustrates the transfer of technological shares between categories in the steel and power sectors:</w:t>
      </w:r>
    </w:p>
    <w:p w14:paraId="189663C2" w14:textId="4EB652B4" w:rsidR="000A3F6C" w:rsidRDefault="000A3F6C" w:rsidP="008046EC">
      <w:pPr>
        <w:jc w:val="both"/>
        <w:rPr>
          <w:rFonts w:ascii="Times New Roman" w:hAnsi="Times New Roman" w:cs="Times New Roman"/>
        </w:rPr>
      </w:pPr>
      <w:r w:rsidRPr="000A3F6C">
        <w:rPr>
          <w:rFonts w:ascii="Times New Roman" w:hAnsi="Times New Roman" w:cs="Times New Roman"/>
        </w:rPr>
        <w:t>Individuals (agents) using a particular technology (such as power generation, transportation, household heating, etc.) may consider replacing old technologies with new ones</w:t>
      </w:r>
      <w:r w:rsidR="002048A1">
        <w:rPr>
          <w:rFonts w:ascii="Times New Roman" w:hAnsi="Times New Roman" w:cs="Times New Roman" w:hint="eastAsia"/>
        </w:rPr>
        <w:t>,</w:t>
      </w:r>
      <w:r w:rsidRPr="000A3F6C">
        <w:rPr>
          <w:rFonts w:ascii="Times New Roman" w:hAnsi="Times New Roman" w:cs="Times New Roman"/>
        </w:rPr>
        <w:t xml:space="preserve"> consider</w:t>
      </w:r>
      <w:r w:rsidR="002048A1">
        <w:rPr>
          <w:rFonts w:ascii="Times New Roman" w:hAnsi="Times New Roman" w:cs="Times New Roman" w:hint="eastAsia"/>
        </w:rPr>
        <w:t>ing</w:t>
      </w:r>
      <w:r w:rsidRPr="000A3F6C">
        <w:rPr>
          <w:rFonts w:ascii="Times New Roman" w:hAnsi="Times New Roman" w:cs="Times New Roman"/>
        </w:rPr>
        <w:t xml:space="preserve"> market dominance, user experience, infrastructure availability, and other factors:</w:t>
      </w:r>
    </w:p>
    <w:p w14:paraId="45DA6DB9" w14:textId="12F720F1" w:rsidR="00767CD7" w:rsidRPr="000A3F6C" w:rsidRDefault="009C0EC1" w:rsidP="00767CD7">
      <w:pPr>
        <w:jc w:val="center"/>
        <w:rPr>
          <w:rFonts w:ascii="Times New Roman" w:hAnsi="Times New Roman" w:cs="Times New Roman"/>
        </w:rPr>
      </w:pPr>
      <w:r w:rsidRPr="00F815FB">
        <w:rPr>
          <w:rFonts w:hint="eastAsia"/>
          <w:b/>
          <w:bCs/>
          <w:position w:val="-30"/>
        </w:rPr>
        <w:object w:dxaOrig="4280" w:dyaOrig="560" w14:anchorId="67B03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85pt;height:28.1pt" o:ole="">
            <v:imagedata r:id="rId6" o:title=""/>
          </v:shape>
          <o:OLEObject Type="Embed" ProgID="Equation.DSMT4" ShapeID="_x0000_i1025" DrawAspect="Content" ObjectID="_1810838067" r:id="rId7"/>
        </w:object>
      </w:r>
    </w:p>
    <w:p w14:paraId="5C7DBB4D" w14:textId="3A1BA070" w:rsidR="000A3F6C" w:rsidRDefault="000A3F6C" w:rsidP="000A3F6C">
      <w:pPr>
        <w:jc w:val="both"/>
        <w:rPr>
          <w:rFonts w:ascii="Times New Roman" w:hAnsi="Times New Roman" w:cs="Times New Roman"/>
        </w:rPr>
      </w:pPr>
      <w:r w:rsidRPr="000A3F6C">
        <w:rPr>
          <w:rFonts w:ascii="Times New Roman" w:hAnsi="Times New Roman" w:cs="Times New Roman"/>
        </w:rPr>
        <w:t xml:space="preserve">Here, the proportion (market share) of individuals using technology </w:t>
      </w:r>
      <w:proofErr w:type="spellStart"/>
      <w:r w:rsidRPr="000A3F6C">
        <w:rPr>
          <w:rFonts w:ascii="Times New Roman" w:hAnsi="Times New Roman" w:cs="Times New Roman"/>
        </w:rPr>
        <w:t>i</w:t>
      </w:r>
      <w:proofErr w:type="spellEnd"/>
      <w:r w:rsidRPr="000A3F6C">
        <w:rPr>
          <w:rFonts w:ascii="Times New Roman" w:hAnsi="Times New Roman" w:cs="Times New Roman"/>
        </w:rPr>
        <w:t xml:space="preserve"> (or j) is represented as</w:t>
      </w:r>
      <w:r w:rsidR="008046EC" w:rsidRPr="001E14C7">
        <w:rPr>
          <w:rFonts w:hint="eastAsia"/>
          <w:position w:val="-12"/>
        </w:rPr>
        <w:object w:dxaOrig="240" w:dyaOrig="360" w14:anchorId="241AE4C8">
          <v:shape id="_x0000_i1026" type="#_x0000_t75" style="width:12.25pt;height:18.55pt" o:ole="">
            <v:imagedata r:id="rId8" o:title=""/>
          </v:shape>
          <o:OLEObject Type="Embed" ProgID="Equation.DSMT4" ShapeID="_x0000_i1026" DrawAspect="Content" ObjectID="_1810838068" r:id="rId9"/>
        </w:object>
      </w:r>
      <w:r w:rsidRPr="000A3F6C">
        <w:rPr>
          <w:rFonts w:ascii="Times New Roman" w:hAnsi="Times New Roman" w:cs="Times New Roman"/>
        </w:rPr>
        <w:t xml:space="preserve"> (</w:t>
      </w:r>
      <w:r w:rsidR="008046EC">
        <w:rPr>
          <w:rFonts w:ascii="Times New Roman" w:hAnsi="Times New Roman" w:cs="Times New Roman" w:hint="eastAsia"/>
        </w:rPr>
        <w:t>or</w:t>
      </w:r>
      <w:r w:rsidR="008046EC" w:rsidRPr="001E14C7">
        <w:rPr>
          <w:rFonts w:hint="eastAsia"/>
          <w:position w:val="-14"/>
        </w:rPr>
        <w:object w:dxaOrig="279" w:dyaOrig="380" w14:anchorId="758BC33A">
          <v:shape id="_x0000_i1027" type="#_x0000_t75" style="width:14.5pt;height:18.55pt" o:ole="">
            <v:imagedata r:id="rId10" o:title=""/>
          </v:shape>
          <o:OLEObject Type="Embed" ProgID="Equation.DSMT4" ShapeID="_x0000_i1027" DrawAspect="Content" ObjectID="_1810838069" r:id="rId11"/>
        </w:object>
      </w:r>
      <w:r w:rsidRPr="000A3F6C">
        <w:rPr>
          <w:rFonts w:ascii="Times New Roman" w:hAnsi="Times New Roman" w:cs="Times New Roman"/>
        </w:rPr>
        <w:t xml:space="preserve">); </w:t>
      </w:r>
      <w:r w:rsidR="00300B03" w:rsidRPr="001E14C7">
        <w:rPr>
          <w:rFonts w:hint="eastAsia"/>
          <w:position w:val="-14"/>
        </w:rPr>
        <w:object w:dxaOrig="300" w:dyaOrig="380" w14:anchorId="6C0EE2A7">
          <v:shape id="_x0000_i1028" type="#_x0000_t75" style="width:14.95pt;height:18.55pt" o:ole="">
            <v:imagedata r:id="rId12" o:title=""/>
          </v:shape>
          <o:OLEObject Type="Embed" ProgID="Equation.DSMT4" ShapeID="_x0000_i1028" DrawAspect="Content" ObjectID="_1810838070" r:id="rId13"/>
        </w:object>
      </w:r>
      <w:r w:rsidRPr="000A3F6C">
        <w:rPr>
          <w:rFonts w:ascii="Times New Roman" w:hAnsi="Times New Roman" w:cs="Times New Roman"/>
        </w:rPr>
        <w:t>is the replacement frequency matrix, which is a function of technology lifespan and reflects the ease of substitution;</w:t>
      </w:r>
      <w:r w:rsidR="00300B03" w:rsidRPr="001E14C7">
        <w:rPr>
          <w:rFonts w:hint="eastAsia"/>
          <w:position w:val="-14"/>
        </w:rPr>
        <w:object w:dxaOrig="320" w:dyaOrig="380" w14:anchorId="17D7F624">
          <v:shape id="_x0000_i1029" type="#_x0000_t75" style="width:15.4pt;height:18.55pt" o:ole="">
            <v:imagedata r:id="rId14" o:title=""/>
          </v:shape>
          <o:OLEObject Type="Embed" ProgID="Equation.DSMT4" ShapeID="_x0000_i1029" DrawAspect="Content" ObjectID="_1810838071" r:id="rId15"/>
        </w:object>
      </w:r>
      <w:r w:rsidRPr="000A3F6C">
        <w:rPr>
          <w:rFonts w:ascii="Times New Roman" w:hAnsi="Times New Roman" w:cs="Times New Roman"/>
        </w:rPr>
        <w:t>is the preference probability of the agent when choosing different options, a score between 0 and 1, specifically related to the cost C, and is represented as:</w:t>
      </w:r>
    </w:p>
    <w:p w14:paraId="2BF4CFE9" w14:textId="3EB8B9FA" w:rsidR="00EF1230" w:rsidRPr="000A3F6C" w:rsidRDefault="00EF1230" w:rsidP="00EF1230">
      <w:pPr>
        <w:jc w:val="center"/>
        <w:rPr>
          <w:rFonts w:ascii="Times New Roman" w:hAnsi="Times New Roman" w:cs="Times New Roman"/>
        </w:rPr>
      </w:pPr>
      <w:r w:rsidRPr="0098297A">
        <w:rPr>
          <w:rFonts w:ascii="宋体" w:hAnsi="宋体" w:hint="eastAsia"/>
          <w:color w:val="1F1F1F"/>
          <w:position w:val="-72"/>
          <w:sz w:val="24"/>
        </w:rPr>
        <w:object w:dxaOrig="2220" w:dyaOrig="1100" w14:anchorId="69D8D6E3">
          <v:shape id="_x0000_i1030" type="#_x0000_t75" style="width:110.95pt;height:55.25pt" o:ole="">
            <v:imagedata r:id="rId16" o:title=""/>
          </v:shape>
          <o:OLEObject Type="Embed" ProgID="Equation.DSMT4" ShapeID="_x0000_i1030" DrawAspect="Content" ObjectID="_1810838072" r:id="rId17"/>
        </w:object>
      </w:r>
    </w:p>
    <w:p w14:paraId="06D17330" w14:textId="348167B3" w:rsidR="00633B84" w:rsidRDefault="00EF1230" w:rsidP="00C61AC7">
      <w:pPr>
        <w:jc w:val="both"/>
        <w:rPr>
          <w:rFonts w:ascii="Times New Roman" w:hAnsi="Times New Roman" w:cs="Times New Roman"/>
        </w:rPr>
      </w:pPr>
      <w:r w:rsidRPr="00EF1230">
        <w:rPr>
          <w:rFonts w:ascii="Times New Roman" w:hAnsi="Times New Roman" w:cs="Times New Roman" w:hint="eastAsia"/>
        </w:rPr>
        <w:object w:dxaOrig="279" w:dyaOrig="360" w14:anchorId="20660D01">
          <v:shape id="_x0000_i1031" type="#_x0000_t75" style="width:14.5pt;height:18.1pt" o:ole="">
            <v:imagedata r:id="rId18" o:title=""/>
          </v:shape>
          <o:OLEObject Type="Embed" ProgID="Equation.DSMT4" ShapeID="_x0000_i1031" DrawAspect="Content" ObjectID="_1810838073" r:id="rId19"/>
        </w:object>
      </w:r>
      <w:r w:rsidRPr="00EF1230">
        <w:rPr>
          <w:rFonts w:ascii="Times New Roman" w:hAnsi="Times New Roman" w:cs="Times New Roman" w:hint="eastAsia"/>
        </w:rPr>
        <w:t xml:space="preserve"> and</w:t>
      </w:r>
      <w:r w:rsidRPr="00EF1230">
        <w:rPr>
          <w:rFonts w:ascii="Times New Roman" w:hAnsi="Times New Roman" w:cs="Times New Roman" w:hint="eastAsia"/>
        </w:rPr>
        <w:object w:dxaOrig="300" w:dyaOrig="380" w14:anchorId="060DA786">
          <v:shape id="_x0000_i1032" type="#_x0000_t75" style="width:14.95pt;height:19pt" o:ole="">
            <v:imagedata r:id="rId20" o:title=""/>
          </v:shape>
          <o:OLEObject Type="Embed" ProgID="Equation.DSMT4" ShapeID="_x0000_i1032" DrawAspect="Content" ObjectID="_1810838074" r:id="rId21"/>
        </w:object>
      </w:r>
      <w:r w:rsidR="000A3F6C" w:rsidRPr="000A3F6C">
        <w:rPr>
          <w:rFonts w:ascii="Times New Roman" w:hAnsi="Times New Roman" w:cs="Times New Roman"/>
        </w:rPr>
        <w:t xml:space="preserve">are the </w:t>
      </w:r>
      <w:r w:rsidR="00F64D19" w:rsidRPr="00F64D19">
        <w:rPr>
          <w:rFonts w:ascii="Times New Roman" w:hAnsi="Times New Roman" w:cs="Times New Roman"/>
        </w:rPr>
        <w:t>LCOS</w:t>
      </w:r>
      <w:r w:rsidR="000A3F6C" w:rsidRPr="000A3F6C">
        <w:rPr>
          <w:rFonts w:ascii="Times New Roman" w:hAnsi="Times New Roman" w:cs="Times New Roman"/>
        </w:rPr>
        <w:t xml:space="preserve"> of the technologies</w:t>
      </w:r>
      <w:r w:rsidR="00F64D19" w:rsidRPr="00F64D19">
        <w:rPr>
          <w:rFonts w:ascii="Times New Roman" w:hAnsi="Times New Roman" w:cs="Times New Roman"/>
        </w:rPr>
        <w:t xml:space="preserve"> </w:t>
      </w:r>
      <w:proofErr w:type="spellStart"/>
      <w:r w:rsidR="00F64D19" w:rsidRPr="00F64D19">
        <w:rPr>
          <w:rFonts w:ascii="Times New Roman" w:hAnsi="Times New Roman" w:cs="Times New Roman"/>
        </w:rPr>
        <w:t>i</w:t>
      </w:r>
      <w:proofErr w:type="spellEnd"/>
      <w:r w:rsidR="00F64D19" w:rsidRPr="00F64D19">
        <w:rPr>
          <w:rFonts w:ascii="Times New Roman" w:hAnsi="Times New Roman" w:cs="Times New Roman"/>
        </w:rPr>
        <w:t xml:space="preserve"> and technology j</w:t>
      </w:r>
      <w:r w:rsidR="000A3F6C" w:rsidRPr="000A3F6C">
        <w:rPr>
          <w:rFonts w:ascii="Times New Roman" w:hAnsi="Times New Roman" w:cs="Times New Roman"/>
        </w:rPr>
        <w:t>, and</w:t>
      </w:r>
      <w:r w:rsidRPr="0087128F">
        <w:rPr>
          <w:rFonts w:hint="eastAsia"/>
          <w:position w:val="-14"/>
        </w:rPr>
        <w:object w:dxaOrig="340" w:dyaOrig="380" w14:anchorId="27C604E2">
          <v:shape id="_x0000_i1033" type="#_x0000_t75" style="width:15.4pt;height:19pt" o:ole="">
            <v:imagedata r:id="rId22" o:title=""/>
          </v:shape>
          <o:OLEObject Type="Embed" ProgID="Equation.DSMT4" ShapeID="_x0000_i1033" DrawAspect="Content" ObjectID="_1810838075" r:id="rId23"/>
        </w:object>
      </w:r>
      <w:r w:rsidR="000A3F6C" w:rsidRPr="000A3F6C">
        <w:rPr>
          <w:rFonts w:ascii="Times New Roman" w:hAnsi="Times New Roman" w:cs="Times New Roman"/>
        </w:rPr>
        <w:t>is a scale parameter for decision uncertainty. The equation calculates the selection probability based on the perceived cost distribution among agents, where cost differences must be significant enough to drive the substitution process, otherwise individuals will tend to choose randomly.</w:t>
      </w:r>
      <w:r w:rsidR="004E7C41">
        <w:rPr>
          <w:rFonts w:ascii="Times New Roman" w:hAnsi="Times New Roman" w:cs="Times New Roman" w:hint="eastAsia"/>
        </w:rPr>
        <w:t xml:space="preserve"> </w:t>
      </w:r>
      <w:r w:rsidR="004512CF" w:rsidRPr="000A3F6C">
        <w:rPr>
          <w:rFonts w:ascii="Times New Roman" w:hAnsi="Times New Roman" w:cs="Times New Roman"/>
        </w:rPr>
        <w:t>The</w:t>
      </w:r>
      <w:r w:rsidR="004512CF" w:rsidRPr="00F64D19">
        <w:rPr>
          <w:rFonts w:ascii="Times New Roman" w:hAnsi="Times New Roman" w:cs="Times New Roman"/>
        </w:rPr>
        <w:t xml:space="preserve"> </w:t>
      </w:r>
      <w:r w:rsidR="004512CF">
        <w:rPr>
          <w:rFonts w:ascii="Times New Roman" w:hAnsi="Times New Roman" w:cs="Times New Roman" w:hint="eastAsia"/>
        </w:rPr>
        <w:t xml:space="preserve">calculation of </w:t>
      </w:r>
      <w:r w:rsidR="00F64D19" w:rsidRPr="00F64D19">
        <w:rPr>
          <w:rFonts w:ascii="Times New Roman" w:hAnsi="Times New Roman" w:cs="Times New Roman"/>
        </w:rPr>
        <w:t>LCOS</w:t>
      </w:r>
      <w:r w:rsidR="00F64D19">
        <w:rPr>
          <w:rFonts w:ascii="Times New Roman" w:hAnsi="Times New Roman" w:cs="Times New Roman" w:hint="eastAsia"/>
        </w:rPr>
        <w:t xml:space="preserve"> </w:t>
      </w:r>
      <w:r w:rsidR="004512CF">
        <w:rPr>
          <w:rFonts w:ascii="Times New Roman" w:hAnsi="Times New Roman" w:cs="Times New Roman" w:hint="eastAsia"/>
        </w:rPr>
        <w:t>is as follows:</w:t>
      </w:r>
    </w:p>
    <w:p w14:paraId="05B43655" w14:textId="4CB57662" w:rsidR="009C0EC1" w:rsidRDefault="00B851EA" w:rsidP="00D55D56">
      <w:pPr>
        <w:jc w:val="center"/>
        <w:rPr>
          <w:rFonts w:ascii="Times New Roman" w:hAnsi="Times New Roman" w:cs="Times New Roman"/>
        </w:rPr>
      </w:pPr>
      <w:r w:rsidRPr="00C90A16">
        <w:rPr>
          <w:rFonts w:hint="eastAsia"/>
          <w:position w:val="-64"/>
        </w:rPr>
        <w:object w:dxaOrig="3519" w:dyaOrig="1400" w14:anchorId="60513396">
          <v:shape id="_x0000_i1034" type="#_x0000_t75" style="width:176.15pt;height:69.75pt" o:ole="">
            <v:imagedata r:id="rId24" o:title=""/>
          </v:shape>
          <o:OLEObject Type="Embed" ProgID="Equation.DSMT4" ShapeID="_x0000_i1034" DrawAspect="Content" ObjectID="_1810838076" r:id="rId25"/>
        </w:object>
      </w:r>
    </w:p>
    <w:bookmarkStart w:id="2" w:name="_Hlk198138314"/>
    <w:p w14:paraId="02F7449E" w14:textId="4A1657C7" w:rsidR="004512CF" w:rsidRDefault="00506FE8" w:rsidP="00D723A9">
      <w:pPr>
        <w:jc w:val="both"/>
        <w:rPr>
          <w:rFonts w:ascii="Times New Roman" w:hAnsi="Times New Roman" w:cs="Times New Roman"/>
        </w:rPr>
      </w:pPr>
      <w:r w:rsidRPr="00C90A16">
        <w:rPr>
          <w:rFonts w:hint="eastAsia"/>
          <w:position w:val="-14"/>
        </w:rPr>
        <w:object w:dxaOrig="260" w:dyaOrig="400" w14:anchorId="2769B017">
          <v:shape id="_x0000_i1035" type="#_x0000_t75" style="width:14.05pt;height:20.4pt" o:ole="">
            <v:imagedata r:id="rId26" o:title=""/>
          </v:shape>
          <o:OLEObject Type="Embed" ProgID="Equation.DSMT4" ShapeID="_x0000_i1035" DrawAspect="Content" ObjectID="_1810838077" r:id="rId27"/>
        </w:object>
      </w:r>
      <w:r w:rsidRPr="00C321CF">
        <w:rPr>
          <w:rFonts w:ascii="Times New Roman" w:hAnsi="Times New Roman" w:cs="Times New Roman"/>
        </w:rPr>
        <w:t xml:space="preserve"> represent the upfront investment costs for</w:t>
      </w:r>
      <w:r w:rsidRPr="00C90A16">
        <w:rPr>
          <w:rFonts w:ascii="Times New Roman" w:hAnsi="Times New Roman" w:cs="Times New Roman" w:hint="eastAsia"/>
        </w:rPr>
        <w:t xml:space="preserve"> steelmaking technology j in the steel sector (s)</w:t>
      </w:r>
      <w:r w:rsidR="004A1C52">
        <w:rPr>
          <w:rFonts w:ascii="Times New Roman" w:hAnsi="Times New Roman" w:cs="Times New Roman" w:hint="eastAsia"/>
        </w:rPr>
        <w:t>.</w:t>
      </w:r>
      <w:r w:rsidRPr="00516851">
        <w:rPr>
          <w:rFonts w:hint="eastAsia"/>
          <w:position w:val="-6"/>
        </w:rPr>
        <w:object w:dxaOrig="480" w:dyaOrig="279" w14:anchorId="1C952BF0">
          <v:shape id="_x0000_i1036" type="#_x0000_t75" style="width:24pt;height:14.5pt" o:ole="">
            <v:imagedata r:id="rId28" o:title=""/>
          </v:shape>
          <o:OLEObject Type="Embed" ProgID="Equation.DSMT4" ShapeID="_x0000_i1036" DrawAspect="Content" ObjectID="_1810838078" r:id="rId29"/>
        </w:object>
      </w:r>
      <w:r w:rsidRPr="00C321CF">
        <w:rPr>
          <w:rFonts w:ascii="Times New Roman" w:hAnsi="Times New Roman" w:cs="Times New Roman"/>
        </w:rPr>
        <w:t xml:space="preserve">denotes operation and maintenance costs, </w:t>
      </w:r>
      <w:r w:rsidRPr="00516851">
        <w:rPr>
          <w:rFonts w:hint="eastAsia"/>
          <w:position w:val="-4"/>
        </w:rPr>
        <w:object w:dxaOrig="260" w:dyaOrig="260" w14:anchorId="21C357E7">
          <v:shape id="_x0000_i1037" type="#_x0000_t75" style="width:14.05pt;height:14.05pt" o:ole="">
            <v:imagedata r:id="rId30" o:title=""/>
          </v:shape>
          <o:OLEObject Type="Embed" ProgID="Equation.DSMT4" ShapeID="_x0000_i1037" DrawAspect="Content" ObjectID="_1810838079" r:id="rId31"/>
        </w:object>
      </w:r>
      <w:r w:rsidRPr="00C321CF">
        <w:rPr>
          <w:rFonts w:ascii="Times New Roman" w:hAnsi="Times New Roman" w:cs="Times New Roman"/>
        </w:rPr>
        <w:t>is the fuel cost,</w:t>
      </w:r>
      <w:r w:rsidR="004A1C52" w:rsidRPr="004A1C52">
        <w:rPr>
          <w:rFonts w:hint="eastAsia"/>
        </w:rPr>
        <w:t xml:space="preserve"> </w:t>
      </w:r>
      <w:r w:rsidR="004A1C52" w:rsidRPr="00B4188C">
        <w:rPr>
          <w:rFonts w:hint="eastAsia"/>
          <w:position w:val="-6"/>
        </w:rPr>
        <w:object w:dxaOrig="220" w:dyaOrig="279" w14:anchorId="0C2AB6B8">
          <v:shape id="_x0000_i1038" type="#_x0000_t75" style="width:11.3pt;height:14.5pt" o:ole="">
            <v:imagedata r:id="rId32" o:title=""/>
          </v:shape>
          <o:OLEObject Type="Embed" ProgID="Equation.DSMT4" ShapeID="_x0000_i1038" DrawAspect="Content" ObjectID="_1810838080" r:id="rId33"/>
        </w:object>
      </w:r>
      <w:r w:rsidR="004A1C52" w:rsidRPr="004A1C52">
        <w:rPr>
          <w:rFonts w:ascii="Times New Roman" w:hAnsi="Times New Roman" w:cs="Times New Roman" w:hint="eastAsia"/>
        </w:rPr>
        <w:t xml:space="preserve">is </w:t>
      </w:r>
      <w:r w:rsidR="004A1C52" w:rsidRPr="00C90A16">
        <w:rPr>
          <w:rFonts w:ascii="Times New Roman" w:hAnsi="Times New Roman" w:cs="Times New Roman" w:hint="eastAsia"/>
        </w:rPr>
        <w:t>steel</w:t>
      </w:r>
      <w:r w:rsidR="004A1C52">
        <w:rPr>
          <w:rFonts w:ascii="Times New Roman" w:hAnsi="Times New Roman" w:cs="Times New Roman" w:hint="eastAsia"/>
        </w:rPr>
        <w:t xml:space="preserve"> production,</w:t>
      </w:r>
      <w:r w:rsidRPr="00C321CF">
        <w:rPr>
          <w:rFonts w:ascii="Times New Roman" w:hAnsi="Times New Roman" w:cs="Times New Roman"/>
        </w:rPr>
        <w:t xml:space="preserve"> </w:t>
      </w:r>
      <w:r w:rsidRPr="00516851">
        <w:rPr>
          <w:rFonts w:hint="eastAsia"/>
          <w:position w:val="-4"/>
        </w:rPr>
        <w:object w:dxaOrig="180" w:dyaOrig="200" w14:anchorId="324C0272">
          <v:shape id="_x0000_i1039" type="#_x0000_t75" style="width:9.05pt;height:9.5pt" o:ole="">
            <v:imagedata r:id="rId34" o:title=""/>
          </v:shape>
          <o:OLEObject Type="Embed" ProgID="Equation.DSMT4" ShapeID="_x0000_i1039" DrawAspect="Content" ObjectID="_1810838081" r:id="rId35"/>
        </w:object>
      </w:r>
      <w:r w:rsidRPr="00C321CF">
        <w:rPr>
          <w:rFonts w:ascii="Times New Roman" w:hAnsi="Times New Roman" w:cs="Times New Roman"/>
        </w:rPr>
        <w:t xml:space="preserve">is </w:t>
      </w:r>
      <w:r w:rsidRPr="00C321CF">
        <w:rPr>
          <w:rFonts w:ascii="Times New Roman" w:hAnsi="Times New Roman" w:cs="Times New Roman"/>
        </w:rPr>
        <w:lastRenderedPageBreak/>
        <w:t>the discount rate</w:t>
      </w:r>
      <w:r w:rsidR="004A1C52">
        <w:rPr>
          <w:rFonts w:ascii="Times New Roman" w:hAnsi="Times New Roman" w:cs="Times New Roman" w:hint="eastAsia"/>
        </w:rPr>
        <w:t xml:space="preserve"> and</w:t>
      </w:r>
      <w:r w:rsidRPr="00516851">
        <w:rPr>
          <w:rFonts w:hint="eastAsia"/>
          <w:position w:val="-6"/>
        </w:rPr>
        <w:object w:dxaOrig="139" w:dyaOrig="180" w14:anchorId="2906B099">
          <v:shape id="_x0000_i1040" type="#_x0000_t75" style="width:12.7pt;height:15.4pt" o:ole="">
            <v:imagedata r:id="rId36" o:title=""/>
          </v:shape>
          <o:OLEObject Type="Embed" ProgID="Equation.DSMT4" ShapeID="_x0000_i1040" DrawAspect="Content" ObjectID="_1810838082" r:id="rId37"/>
        </w:object>
      </w:r>
      <w:r w:rsidRPr="00C321CF">
        <w:rPr>
          <w:rFonts w:ascii="Times New Roman" w:hAnsi="Times New Roman" w:cs="Times New Roman"/>
        </w:rPr>
        <w:t>is the total project lifetime</w:t>
      </w:r>
      <w:r>
        <w:rPr>
          <w:rFonts w:ascii="Times New Roman" w:hAnsi="Times New Roman" w:cs="Times New Roman" w:hint="eastAsia"/>
        </w:rPr>
        <w:t>.</w:t>
      </w:r>
      <w:bookmarkEnd w:id="2"/>
      <w:r w:rsidR="004A1C52">
        <w:rPr>
          <w:rFonts w:ascii="Times New Roman" w:hAnsi="Times New Roman" w:cs="Times New Roman" w:hint="eastAsia"/>
        </w:rPr>
        <w:t xml:space="preserve"> </w:t>
      </w:r>
      <w:r w:rsidR="004512CF" w:rsidRPr="004E7C41">
        <w:rPr>
          <w:rFonts w:ascii="Times New Roman" w:hAnsi="Times New Roman" w:cs="Times New Roman"/>
        </w:rPr>
        <w:t xml:space="preserve">The </w:t>
      </w:r>
      <w:r w:rsidR="004512CF">
        <w:rPr>
          <w:rFonts w:ascii="Times New Roman" w:hAnsi="Times New Roman" w:cs="Times New Roman" w:hint="eastAsia"/>
        </w:rPr>
        <w:t>electricity price</w:t>
      </w:r>
      <w:r w:rsidR="004512CF" w:rsidRPr="004E7C41">
        <w:rPr>
          <w:rFonts w:ascii="Times New Roman" w:hAnsi="Times New Roman" w:cs="Times New Roman"/>
        </w:rPr>
        <w:t xml:space="preserve"> will influence</w:t>
      </w:r>
      <w:r w:rsidR="004512CF">
        <w:rPr>
          <w:rFonts w:ascii="Times New Roman" w:hAnsi="Times New Roman" w:cs="Times New Roman" w:hint="eastAsia"/>
        </w:rPr>
        <w:t xml:space="preserve"> the fuel cost of technology</w:t>
      </w:r>
      <w:r w:rsidR="004512CF" w:rsidRPr="004E7C41">
        <w:rPr>
          <w:rFonts w:ascii="Times New Roman" w:hAnsi="Times New Roman" w:cs="Times New Roman"/>
        </w:rPr>
        <w:t>, which in turn affects the composition of end-use technologies.</w:t>
      </w:r>
    </w:p>
    <w:p w14:paraId="3B29B520" w14:textId="77777777" w:rsidR="00DE3C85" w:rsidRDefault="00DE3C85" w:rsidP="00D723A9">
      <w:pPr>
        <w:jc w:val="both"/>
        <w:rPr>
          <w:rFonts w:ascii="Times New Roman" w:hAnsi="Times New Roman" w:cs="Times New Roman"/>
          <w:color w:val="000000" w:themeColor="text1"/>
        </w:rPr>
      </w:pPr>
    </w:p>
    <w:p w14:paraId="1441E89C" w14:textId="0C71C09F" w:rsidR="00251A7E" w:rsidRPr="00D723A9" w:rsidRDefault="00F72FA9" w:rsidP="00D723A9">
      <w:pPr>
        <w:jc w:val="both"/>
        <w:rPr>
          <w:rFonts w:ascii="Times New Roman" w:hAnsi="Times New Roman" w:cs="Times New Roman"/>
          <w:b/>
          <w:bCs/>
        </w:rPr>
      </w:pPr>
      <w:r w:rsidRPr="00C61AC7">
        <w:rPr>
          <w:rFonts w:ascii="Times New Roman" w:hAnsi="Times New Roman" w:cs="Times New Roman"/>
          <w:b/>
          <w:bCs/>
        </w:rPr>
        <w:t>Supplementary Note</w:t>
      </w:r>
      <w:r>
        <w:rPr>
          <w:rFonts w:ascii="Times New Roman" w:hAnsi="Times New Roman" w:cs="Times New Roman" w:hint="eastAsia"/>
          <w:b/>
          <w:bCs/>
        </w:rPr>
        <w:t xml:space="preserve"> 3: Scenario Design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5"/>
        <w:gridCol w:w="3015"/>
        <w:gridCol w:w="4106"/>
      </w:tblGrid>
      <w:tr w:rsidR="001116D7" w:rsidRPr="00250190" w14:paraId="363262A1" w14:textId="77777777" w:rsidTr="00D03693">
        <w:trPr>
          <w:trHeight w:val="20"/>
        </w:trPr>
        <w:tc>
          <w:tcPr>
            <w:tcW w:w="0" w:type="auto"/>
            <w:tcBorders>
              <w:bottom w:val="single" w:sz="8" w:space="0" w:color="auto"/>
            </w:tcBorders>
            <w:shd w:val="clear" w:color="auto" w:fill="E7E6E6" w:themeFill="background2"/>
            <w:hideMark/>
          </w:tcPr>
          <w:p w14:paraId="3F857792" w14:textId="45FFD7ED" w:rsidR="001116D7" w:rsidRPr="00250190" w:rsidRDefault="001116D7" w:rsidP="00A002DE">
            <w:pPr>
              <w:widowControl/>
              <w:spacing w:after="0"/>
              <w:jc w:val="center"/>
              <w:rPr>
                <w:rFonts w:ascii="Times New Roman" w:eastAsia="等线" w:hAnsi="Times New Roman" w:cs="Times New Roman"/>
                <w:b/>
                <w:bCs/>
                <w:color w:val="000000"/>
                <w:kern w:val="0"/>
              </w:rPr>
            </w:pPr>
            <w:r w:rsidRPr="00250190">
              <w:rPr>
                <w:rFonts w:ascii="Times New Roman" w:hAnsi="Times New Roman" w:cs="Times New Roman"/>
                <w:b/>
                <w:bCs/>
              </w:rPr>
              <w:t>Sector</w:t>
            </w:r>
          </w:p>
        </w:tc>
        <w:tc>
          <w:tcPr>
            <w:tcW w:w="3015" w:type="dxa"/>
            <w:tcBorders>
              <w:bottom w:val="single" w:sz="8" w:space="0" w:color="auto"/>
            </w:tcBorders>
            <w:shd w:val="clear" w:color="auto" w:fill="E7E6E6" w:themeFill="background2"/>
            <w:hideMark/>
          </w:tcPr>
          <w:p w14:paraId="7E490024" w14:textId="6BDA8D75" w:rsidR="001116D7" w:rsidRPr="00250190" w:rsidRDefault="001116D7" w:rsidP="00A002DE">
            <w:pPr>
              <w:widowControl/>
              <w:spacing w:after="0"/>
              <w:jc w:val="center"/>
              <w:rPr>
                <w:rFonts w:ascii="Times New Roman" w:eastAsia="等线" w:hAnsi="Times New Roman" w:cs="Times New Roman"/>
                <w:b/>
                <w:bCs/>
                <w:color w:val="000000"/>
                <w:kern w:val="0"/>
              </w:rPr>
            </w:pPr>
            <w:r w:rsidRPr="00250190">
              <w:rPr>
                <w:rFonts w:ascii="Times New Roman" w:hAnsi="Times New Roman" w:cs="Times New Roman"/>
                <w:b/>
                <w:bCs/>
              </w:rPr>
              <w:t>Policy Measure</w:t>
            </w:r>
          </w:p>
        </w:tc>
        <w:tc>
          <w:tcPr>
            <w:tcW w:w="4106" w:type="dxa"/>
            <w:tcBorders>
              <w:bottom w:val="single" w:sz="8" w:space="0" w:color="auto"/>
            </w:tcBorders>
            <w:shd w:val="clear" w:color="auto" w:fill="E7E6E6" w:themeFill="background2"/>
            <w:hideMark/>
          </w:tcPr>
          <w:p w14:paraId="519758B1" w14:textId="38692DB5" w:rsidR="001116D7" w:rsidRPr="00250190" w:rsidRDefault="001116D7" w:rsidP="00A002DE">
            <w:pPr>
              <w:widowControl/>
              <w:spacing w:after="0"/>
              <w:jc w:val="center"/>
              <w:rPr>
                <w:rFonts w:ascii="Times New Roman" w:eastAsia="等线" w:hAnsi="Times New Roman" w:cs="Times New Roman"/>
                <w:b/>
                <w:bCs/>
                <w:color w:val="000000"/>
                <w:kern w:val="0"/>
              </w:rPr>
            </w:pPr>
            <w:r w:rsidRPr="00250190">
              <w:rPr>
                <w:rFonts w:ascii="Times New Roman" w:hAnsi="Times New Roman" w:cs="Times New Roman"/>
                <w:b/>
                <w:bCs/>
              </w:rPr>
              <w:t>Specific Requirements</w:t>
            </w:r>
          </w:p>
        </w:tc>
      </w:tr>
      <w:tr w:rsidR="001116D7" w:rsidRPr="00250190" w14:paraId="375A87C0" w14:textId="77777777" w:rsidTr="00F40977">
        <w:trPr>
          <w:trHeight w:val="20"/>
        </w:trPr>
        <w:tc>
          <w:tcPr>
            <w:tcW w:w="0" w:type="auto"/>
            <w:tcBorders>
              <w:top w:val="single" w:sz="8" w:space="0" w:color="auto"/>
              <w:bottom w:val="single" w:sz="8" w:space="0" w:color="auto"/>
            </w:tcBorders>
            <w:shd w:val="clear" w:color="auto" w:fill="auto"/>
            <w:hideMark/>
          </w:tcPr>
          <w:p w14:paraId="45FE9CA5" w14:textId="765D4533" w:rsidR="001116D7" w:rsidRPr="00250190" w:rsidRDefault="001116D7" w:rsidP="001116D7">
            <w:pPr>
              <w:widowControl/>
              <w:rPr>
                <w:rFonts w:ascii="Times New Roman" w:eastAsia="等线" w:hAnsi="Times New Roman" w:cs="Times New Roman"/>
                <w:b/>
                <w:bCs/>
                <w:color w:val="000000"/>
                <w:kern w:val="0"/>
              </w:rPr>
            </w:pPr>
            <w:r w:rsidRPr="00250190">
              <w:rPr>
                <w:rFonts w:ascii="Times New Roman" w:hAnsi="Times New Roman" w:cs="Times New Roman"/>
              </w:rPr>
              <w:t>Carbon Tax</w:t>
            </w:r>
          </w:p>
        </w:tc>
        <w:tc>
          <w:tcPr>
            <w:tcW w:w="3015" w:type="dxa"/>
            <w:tcBorders>
              <w:top w:val="single" w:sz="8" w:space="0" w:color="auto"/>
              <w:bottom w:val="single" w:sz="8" w:space="0" w:color="auto"/>
            </w:tcBorders>
            <w:shd w:val="clear" w:color="auto" w:fill="auto"/>
            <w:hideMark/>
          </w:tcPr>
          <w:p w14:paraId="53CC3DD5" w14:textId="49464C02"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Global Carbon Price (applied to sectors taking mitigation actions)</w:t>
            </w:r>
          </w:p>
        </w:tc>
        <w:tc>
          <w:tcPr>
            <w:tcW w:w="4106" w:type="dxa"/>
            <w:tcBorders>
              <w:top w:val="single" w:sz="8" w:space="0" w:color="auto"/>
              <w:bottom w:val="single" w:sz="8" w:space="0" w:color="auto"/>
            </w:tcBorders>
            <w:shd w:val="clear" w:color="auto" w:fill="auto"/>
            <w:hideMark/>
          </w:tcPr>
          <w:p w14:paraId="5D6CF0B0" w14:textId="02CFDDE4"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From 2020, the global carbon price will increase linearly from 68 €/toe to 1955 €/toe by 2033, then remain stable.</w:t>
            </w:r>
          </w:p>
        </w:tc>
      </w:tr>
      <w:tr w:rsidR="001116D7" w:rsidRPr="00250190" w14:paraId="51643EC3" w14:textId="77777777" w:rsidTr="00F40977">
        <w:trPr>
          <w:trHeight w:val="20"/>
        </w:trPr>
        <w:tc>
          <w:tcPr>
            <w:tcW w:w="0" w:type="auto"/>
            <w:tcBorders>
              <w:top w:val="single" w:sz="8" w:space="0" w:color="auto"/>
            </w:tcBorders>
            <w:shd w:val="clear" w:color="auto" w:fill="auto"/>
            <w:hideMark/>
          </w:tcPr>
          <w:p w14:paraId="2716953C" w14:textId="1193EBEB" w:rsidR="001116D7" w:rsidRPr="00250190" w:rsidRDefault="001116D7" w:rsidP="001116D7">
            <w:pPr>
              <w:widowControl/>
              <w:rPr>
                <w:rFonts w:ascii="Times New Roman" w:eastAsia="等线" w:hAnsi="Times New Roman" w:cs="Times New Roman"/>
                <w:b/>
                <w:bCs/>
                <w:color w:val="000000"/>
                <w:kern w:val="0"/>
              </w:rPr>
            </w:pPr>
            <w:r w:rsidRPr="00250190">
              <w:rPr>
                <w:rFonts w:ascii="Times New Roman" w:hAnsi="Times New Roman" w:cs="Times New Roman"/>
                <w:b/>
                <w:bCs/>
              </w:rPr>
              <w:t>Transport</w:t>
            </w:r>
          </w:p>
        </w:tc>
        <w:tc>
          <w:tcPr>
            <w:tcW w:w="3015" w:type="dxa"/>
            <w:tcBorders>
              <w:top w:val="single" w:sz="8" w:space="0" w:color="auto"/>
            </w:tcBorders>
            <w:shd w:val="clear" w:color="auto" w:fill="auto"/>
            <w:hideMark/>
          </w:tcPr>
          <w:p w14:paraId="2867F963" w14:textId="64C85883"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Middle Distillate Fuel Tax</w:t>
            </w:r>
          </w:p>
        </w:tc>
        <w:tc>
          <w:tcPr>
            <w:tcW w:w="4106" w:type="dxa"/>
            <w:tcBorders>
              <w:top w:val="single" w:sz="8" w:space="0" w:color="auto"/>
            </w:tcBorders>
            <w:shd w:val="clear" w:color="auto" w:fill="auto"/>
            <w:hideMark/>
          </w:tcPr>
          <w:p w14:paraId="37D71598" w14:textId="7CB2DAA3"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Additional fuel tax imposed.</w:t>
            </w:r>
          </w:p>
        </w:tc>
      </w:tr>
      <w:tr w:rsidR="001116D7" w:rsidRPr="00250190" w14:paraId="777D41B4" w14:textId="77777777" w:rsidTr="00E43614">
        <w:trPr>
          <w:trHeight w:val="20"/>
        </w:trPr>
        <w:tc>
          <w:tcPr>
            <w:tcW w:w="0" w:type="auto"/>
            <w:shd w:val="clear" w:color="auto" w:fill="auto"/>
            <w:vAlign w:val="center"/>
            <w:hideMark/>
          </w:tcPr>
          <w:p w14:paraId="0DC890D1" w14:textId="77777777" w:rsidR="001116D7" w:rsidRPr="00250190" w:rsidRDefault="001116D7" w:rsidP="001116D7">
            <w:pPr>
              <w:widowControl/>
              <w:rPr>
                <w:rFonts w:ascii="Times New Roman" w:eastAsia="等线" w:hAnsi="Times New Roman" w:cs="Times New Roman"/>
                <w:color w:val="000000"/>
                <w:kern w:val="0"/>
              </w:rPr>
            </w:pPr>
          </w:p>
        </w:tc>
        <w:tc>
          <w:tcPr>
            <w:tcW w:w="3015" w:type="dxa"/>
            <w:shd w:val="clear" w:color="auto" w:fill="auto"/>
            <w:hideMark/>
          </w:tcPr>
          <w:p w14:paraId="62684A76" w14:textId="10F4A137"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Biomass Co-firing Electric Vehicles</w:t>
            </w:r>
          </w:p>
        </w:tc>
        <w:tc>
          <w:tcPr>
            <w:tcW w:w="4106" w:type="dxa"/>
            <w:shd w:val="clear" w:color="auto" w:fill="auto"/>
            <w:hideMark/>
          </w:tcPr>
          <w:p w14:paraId="55FD74F8" w14:textId="1A82ECBE"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Co-firing rate increases linearly to 50%.</w:t>
            </w:r>
          </w:p>
        </w:tc>
      </w:tr>
      <w:tr w:rsidR="001116D7" w:rsidRPr="00250190" w14:paraId="2AA14C89" w14:textId="77777777" w:rsidTr="00E43614">
        <w:trPr>
          <w:trHeight w:val="20"/>
        </w:trPr>
        <w:tc>
          <w:tcPr>
            <w:tcW w:w="0" w:type="auto"/>
            <w:shd w:val="clear" w:color="auto" w:fill="auto"/>
            <w:vAlign w:val="center"/>
            <w:hideMark/>
          </w:tcPr>
          <w:p w14:paraId="1B4EA103" w14:textId="77777777" w:rsidR="001116D7" w:rsidRPr="00250190" w:rsidRDefault="001116D7" w:rsidP="001116D7">
            <w:pPr>
              <w:widowControl/>
              <w:rPr>
                <w:rFonts w:ascii="Times New Roman" w:eastAsia="等线" w:hAnsi="Times New Roman" w:cs="Times New Roman"/>
                <w:color w:val="000000"/>
                <w:kern w:val="0"/>
              </w:rPr>
            </w:pPr>
          </w:p>
        </w:tc>
        <w:tc>
          <w:tcPr>
            <w:tcW w:w="3015" w:type="dxa"/>
            <w:shd w:val="clear" w:color="auto" w:fill="auto"/>
            <w:hideMark/>
          </w:tcPr>
          <w:p w14:paraId="3283A511" w14:textId="25D4A372"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Electric Vehicle Subsidy</w:t>
            </w:r>
          </w:p>
        </w:tc>
        <w:tc>
          <w:tcPr>
            <w:tcW w:w="4106" w:type="dxa"/>
            <w:shd w:val="clear" w:color="auto" w:fill="auto"/>
            <w:hideMark/>
          </w:tcPr>
          <w:p w14:paraId="7F6040C2" w14:textId="30BEBFB0"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 xml:space="preserve">EU: $7000/vehicle; </w:t>
            </w:r>
            <w:proofErr w:type="gramStart"/>
            <w:r w:rsidRPr="00250190">
              <w:rPr>
                <w:rFonts w:ascii="Times New Roman" w:hAnsi="Times New Roman" w:cs="Times New Roman"/>
              </w:rPr>
              <w:t>Non-EU</w:t>
            </w:r>
            <w:proofErr w:type="gramEnd"/>
            <w:r w:rsidRPr="00250190">
              <w:rPr>
                <w:rFonts w:ascii="Times New Roman" w:hAnsi="Times New Roman" w:cs="Times New Roman"/>
              </w:rPr>
              <w:t>: $8860.80-$13122.70/vehicle.</w:t>
            </w:r>
          </w:p>
        </w:tc>
      </w:tr>
      <w:tr w:rsidR="001116D7" w:rsidRPr="00250190" w14:paraId="36D424B3" w14:textId="77777777" w:rsidTr="00E43614">
        <w:trPr>
          <w:trHeight w:val="20"/>
        </w:trPr>
        <w:tc>
          <w:tcPr>
            <w:tcW w:w="0" w:type="auto"/>
            <w:shd w:val="clear" w:color="auto" w:fill="auto"/>
            <w:vAlign w:val="center"/>
            <w:hideMark/>
          </w:tcPr>
          <w:p w14:paraId="0901F991" w14:textId="77777777" w:rsidR="001116D7" w:rsidRPr="00250190" w:rsidRDefault="001116D7" w:rsidP="001116D7">
            <w:pPr>
              <w:widowControl/>
              <w:rPr>
                <w:rFonts w:ascii="Times New Roman" w:eastAsia="等线" w:hAnsi="Times New Roman" w:cs="Times New Roman"/>
                <w:color w:val="000000"/>
                <w:kern w:val="0"/>
              </w:rPr>
            </w:pPr>
          </w:p>
        </w:tc>
        <w:tc>
          <w:tcPr>
            <w:tcW w:w="3015" w:type="dxa"/>
            <w:shd w:val="clear" w:color="auto" w:fill="auto"/>
            <w:hideMark/>
          </w:tcPr>
          <w:p w14:paraId="2BCFE254" w14:textId="62236CEF"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Road Tax</w:t>
            </w:r>
          </w:p>
        </w:tc>
        <w:tc>
          <w:tcPr>
            <w:tcW w:w="4106" w:type="dxa"/>
            <w:shd w:val="clear" w:color="auto" w:fill="auto"/>
            <w:hideMark/>
          </w:tcPr>
          <w:p w14:paraId="612A8243" w14:textId="7DE69610"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Increases with engine size.</w:t>
            </w:r>
          </w:p>
        </w:tc>
      </w:tr>
      <w:tr w:rsidR="001116D7" w:rsidRPr="00250190" w14:paraId="290EA55B" w14:textId="77777777" w:rsidTr="00E43614">
        <w:trPr>
          <w:trHeight w:val="20"/>
        </w:trPr>
        <w:tc>
          <w:tcPr>
            <w:tcW w:w="0" w:type="auto"/>
            <w:shd w:val="clear" w:color="auto" w:fill="auto"/>
            <w:vAlign w:val="center"/>
            <w:hideMark/>
          </w:tcPr>
          <w:p w14:paraId="0390B123" w14:textId="77777777" w:rsidR="001116D7" w:rsidRPr="00250190" w:rsidRDefault="001116D7" w:rsidP="001116D7">
            <w:pPr>
              <w:widowControl/>
              <w:rPr>
                <w:rFonts w:ascii="Times New Roman" w:eastAsia="等线" w:hAnsi="Times New Roman" w:cs="Times New Roman"/>
                <w:color w:val="000000"/>
                <w:kern w:val="0"/>
              </w:rPr>
            </w:pPr>
          </w:p>
        </w:tc>
        <w:tc>
          <w:tcPr>
            <w:tcW w:w="3015" w:type="dxa"/>
            <w:shd w:val="clear" w:color="auto" w:fill="auto"/>
            <w:hideMark/>
          </w:tcPr>
          <w:p w14:paraId="60E8317A" w14:textId="3AB2B245"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Ban on Traditional Fuel Vehicles</w:t>
            </w:r>
          </w:p>
        </w:tc>
        <w:tc>
          <w:tcPr>
            <w:tcW w:w="4106" w:type="dxa"/>
            <w:shd w:val="clear" w:color="auto" w:fill="auto"/>
            <w:hideMark/>
          </w:tcPr>
          <w:p w14:paraId="46BF0424" w14:textId="32298DD9"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Full phase-out by 2040.</w:t>
            </w:r>
          </w:p>
        </w:tc>
      </w:tr>
      <w:tr w:rsidR="001116D7" w:rsidRPr="00250190" w14:paraId="3A78A7C4" w14:textId="77777777" w:rsidTr="00E43614">
        <w:trPr>
          <w:trHeight w:val="20"/>
        </w:trPr>
        <w:tc>
          <w:tcPr>
            <w:tcW w:w="0" w:type="auto"/>
            <w:tcBorders>
              <w:bottom w:val="single" w:sz="8" w:space="0" w:color="auto"/>
            </w:tcBorders>
            <w:shd w:val="clear" w:color="auto" w:fill="auto"/>
            <w:vAlign w:val="center"/>
            <w:hideMark/>
          </w:tcPr>
          <w:p w14:paraId="31EA6A74" w14:textId="77777777" w:rsidR="001116D7" w:rsidRPr="00250190" w:rsidRDefault="001116D7" w:rsidP="001116D7">
            <w:pPr>
              <w:widowControl/>
              <w:rPr>
                <w:rFonts w:ascii="Times New Roman" w:eastAsia="等线" w:hAnsi="Times New Roman" w:cs="Times New Roman"/>
                <w:color w:val="000000"/>
                <w:kern w:val="0"/>
              </w:rPr>
            </w:pPr>
          </w:p>
        </w:tc>
        <w:tc>
          <w:tcPr>
            <w:tcW w:w="3015" w:type="dxa"/>
            <w:tcBorders>
              <w:bottom w:val="single" w:sz="8" w:space="0" w:color="auto"/>
            </w:tcBorders>
            <w:shd w:val="clear" w:color="auto" w:fill="auto"/>
            <w:hideMark/>
          </w:tcPr>
          <w:p w14:paraId="0902A82E" w14:textId="763AD697"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Government Procurement of Electric Vehicles</w:t>
            </w:r>
          </w:p>
        </w:tc>
        <w:tc>
          <w:tcPr>
            <w:tcW w:w="4106" w:type="dxa"/>
            <w:tcBorders>
              <w:bottom w:val="single" w:sz="8" w:space="0" w:color="auto"/>
            </w:tcBorders>
            <w:shd w:val="clear" w:color="auto" w:fill="auto"/>
            <w:hideMark/>
          </w:tcPr>
          <w:p w14:paraId="45FA9D7D" w14:textId="2BC3BA7A" w:rsidR="001116D7" w:rsidRPr="00250190" w:rsidRDefault="001116D7" w:rsidP="001116D7">
            <w:pPr>
              <w:widowControl/>
              <w:rPr>
                <w:rFonts w:ascii="Times New Roman" w:eastAsia="等线" w:hAnsi="Times New Roman" w:cs="Times New Roman"/>
                <w:color w:val="000000"/>
                <w:kern w:val="0"/>
              </w:rPr>
            </w:pPr>
            <w:r w:rsidRPr="00250190">
              <w:rPr>
                <w:rFonts w:ascii="Times New Roman" w:hAnsi="Times New Roman" w:cs="Times New Roman"/>
              </w:rPr>
              <w:t>10% of sales.</w:t>
            </w:r>
          </w:p>
        </w:tc>
      </w:tr>
      <w:tr w:rsidR="00D723A9" w:rsidRPr="00250190" w14:paraId="164418D0" w14:textId="77777777" w:rsidTr="009D09E9">
        <w:trPr>
          <w:trHeight w:val="20"/>
        </w:trPr>
        <w:tc>
          <w:tcPr>
            <w:tcW w:w="0" w:type="auto"/>
            <w:tcBorders>
              <w:top w:val="single" w:sz="8" w:space="0" w:color="auto"/>
            </w:tcBorders>
            <w:shd w:val="clear" w:color="auto" w:fill="auto"/>
            <w:hideMark/>
          </w:tcPr>
          <w:p w14:paraId="41C8DE7F" w14:textId="41F30E56" w:rsidR="00D723A9" w:rsidRPr="00250190" w:rsidRDefault="00D723A9" w:rsidP="00D723A9">
            <w:pPr>
              <w:widowControl/>
              <w:rPr>
                <w:rFonts w:ascii="Times New Roman" w:eastAsia="等线" w:hAnsi="Times New Roman" w:cs="Times New Roman"/>
                <w:b/>
                <w:bCs/>
                <w:color w:val="000000"/>
                <w:kern w:val="0"/>
              </w:rPr>
            </w:pPr>
            <w:r w:rsidRPr="00250190">
              <w:rPr>
                <w:rFonts w:ascii="Times New Roman" w:hAnsi="Times New Roman" w:cs="Times New Roman"/>
                <w:b/>
                <w:bCs/>
              </w:rPr>
              <w:t>Steel</w:t>
            </w:r>
          </w:p>
        </w:tc>
        <w:tc>
          <w:tcPr>
            <w:tcW w:w="3015" w:type="dxa"/>
            <w:tcBorders>
              <w:top w:val="single" w:sz="8" w:space="0" w:color="auto"/>
            </w:tcBorders>
            <w:shd w:val="clear" w:color="auto" w:fill="auto"/>
            <w:hideMark/>
          </w:tcPr>
          <w:p w14:paraId="520C953D" w14:textId="725E4A62" w:rsidR="00D723A9" w:rsidRPr="00250190" w:rsidRDefault="00D723A9" w:rsidP="00D723A9">
            <w:pPr>
              <w:widowControl/>
              <w:rPr>
                <w:rFonts w:ascii="Times New Roman" w:eastAsia="等线" w:hAnsi="Times New Roman" w:cs="Times New Roman"/>
                <w:color w:val="000000"/>
                <w:kern w:val="0"/>
              </w:rPr>
            </w:pPr>
            <w:r w:rsidRPr="00250190">
              <w:rPr>
                <w:rFonts w:ascii="Times New Roman" w:hAnsi="Times New Roman" w:cs="Times New Roman"/>
              </w:rPr>
              <w:t>CCS Investment Subsidy</w:t>
            </w:r>
          </w:p>
        </w:tc>
        <w:tc>
          <w:tcPr>
            <w:tcW w:w="4106" w:type="dxa"/>
            <w:tcBorders>
              <w:top w:val="single" w:sz="8" w:space="0" w:color="auto"/>
            </w:tcBorders>
            <w:shd w:val="clear" w:color="auto" w:fill="auto"/>
            <w:hideMark/>
          </w:tcPr>
          <w:p w14:paraId="47C61C9A" w14:textId="2BAE0250" w:rsidR="00D723A9" w:rsidRPr="00250190" w:rsidRDefault="00D723A9" w:rsidP="00D723A9">
            <w:pPr>
              <w:widowControl/>
              <w:rPr>
                <w:rFonts w:ascii="Times New Roman" w:eastAsia="等线" w:hAnsi="Times New Roman" w:cs="Times New Roman"/>
                <w:color w:val="000000"/>
                <w:kern w:val="0"/>
              </w:rPr>
            </w:pPr>
            <w:r w:rsidRPr="00250190">
              <w:rPr>
                <w:rFonts w:ascii="Times New Roman" w:hAnsi="Times New Roman" w:cs="Times New Roman"/>
              </w:rPr>
              <w:t>10% subsidy, phased out gradually from 2035 to 2050.</w:t>
            </w:r>
          </w:p>
        </w:tc>
      </w:tr>
      <w:tr w:rsidR="00D723A9" w:rsidRPr="00250190" w14:paraId="53C24AFF" w14:textId="77777777" w:rsidTr="007556A4">
        <w:trPr>
          <w:trHeight w:val="20"/>
        </w:trPr>
        <w:tc>
          <w:tcPr>
            <w:tcW w:w="0" w:type="auto"/>
            <w:shd w:val="clear" w:color="auto" w:fill="auto"/>
            <w:vAlign w:val="center"/>
            <w:hideMark/>
          </w:tcPr>
          <w:p w14:paraId="4D78A75F" w14:textId="77777777" w:rsidR="00D723A9" w:rsidRPr="00250190" w:rsidRDefault="00D723A9" w:rsidP="00D723A9">
            <w:pPr>
              <w:widowControl/>
              <w:rPr>
                <w:rFonts w:ascii="Times New Roman" w:eastAsia="等线" w:hAnsi="Times New Roman" w:cs="Times New Roman"/>
                <w:color w:val="000000"/>
                <w:kern w:val="0"/>
              </w:rPr>
            </w:pPr>
          </w:p>
        </w:tc>
        <w:tc>
          <w:tcPr>
            <w:tcW w:w="3015" w:type="dxa"/>
            <w:shd w:val="clear" w:color="auto" w:fill="auto"/>
            <w:hideMark/>
          </w:tcPr>
          <w:p w14:paraId="28B9D01D" w14:textId="7C85706C" w:rsidR="00D723A9" w:rsidRPr="00250190" w:rsidRDefault="00D723A9" w:rsidP="00D723A9">
            <w:pPr>
              <w:widowControl/>
              <w:rPr>
                <w:rFonts w:ascii="Times New Roman" w:eastAsia="等线" w:hAnsi="Times New Roman" w:cs="Times New Roman"/>
                <w:color w:val="000000"/>
                <w:kern w:val="0"/>
              </w:rPr>
            </w:pPr>
            <w:r w:rsidRPr="00250190">
              <w:rPr>
                <w:rFonts w:ascii="Times New Roman" w:hAnsi="Times New Roman" w:cs="Times New Roman"/>
              </w:rPr>
              <w:t>Electricity and Hydrogen Use Subsidy</w:t>
            </w:r>
          </w:p>
        </w:tc>
        <w:tc>
          <w:tcPr>
            <w:tcW w:w="4106" w:type="dxa"/>
            <w:shd w:val="clear" w:color="auto" w:fill="auto"/>
            <w:hideMark/>
          </w:tcPr>
          <w:p w14:paraId="7B71B1E3" w14:textId="21ADE2DE" w:rsidR="00D723A9" w:rsidRPr="00250190" w:rsidRDefault="00D723A9" w:rsidP="00D723A9">
            <w:pPr>
              <w:widowControl/>
              <w:rPr>
                <w:rFonts w:ascii="Times New Roman" w:eastAsia="等线" w:hAnsi="Times New Roman" w:cs="Times New Roman"/>
                <w:color w:val="000000"/>
                <w:kern w:val="0"/>
              </w:rPr>
            </w:pPr>
            <w:r w:rsidRPr="00250190">
              <w:rPr>
                <w:rFonts w:ascii="Times New Roman" w:hAnsi="Times New Roman" w:cs="Times New Roman"/>
              </w:rPr>
              <w:t>5% and 10% subsidies respectively, phased out gradually from 2035 to 2045.</w:t>
            </w:r>
          </w:p>
        </w:tc>
      </w:tr>
      <w:tr w:rsidR="00D723A9" w:rsidRPr="00250190" w14:paraId="7C6288F1" w14:textId="77777777" w:rsidTr="00DC79F5">
        <w:trPr>
          <w:trHeight w:val="20"/>
        </w:trPr>
        <w:tc>
          <w:tcPr>
            <w:tcW w:w="0" w:type="auto"/>
            <w:tcBorders>
              <w:bottom w:val="single" w:sz="8" w:space="0" w:color="auto"/>
            </w:tcBorders>
            <w:shd w:val="clear" w:color="auto" w:fill="auto"/>
            <w:vAlign w:val="center"/>
            <w:hideMark/>
          </w:tcPr>
          <w:p w14:paraId="5FC40A74" w14:textId="77777777" w:rsidR="00D723A9" w:rsidRPr="00250190" w:rsidRDefault="00D723A9" w:rsidP="00D723A9">
            <w:pPr>
              <w:widowControl/>
              <w:rPr>
                <w:rFonts w:ascii="Times New Roman" w:eastAsia="等线" w:hAnsi="Times New Roman" w:cs="Times New Roman"/>
                <w:color w:val="000000"/>
                <w:kern w:val="0"/>
              </w:rPr>
            </w:pPr>
          </w:p>
        </w:tc>
        <w:tc>
          <w:tcPr>
            <w:tcW w:w="3015" w:type="dxa"/>
            <w:tcBorders>
              <w:bottom w:val="single" w:sz="8" w:space="0" w:color="auto"/>
            </w:tcBorders>
            <w:shd w:val="clear" w:color="auto" w:fill="auto"/>
            <w:hideMark/>
          </w:tcPr>
          <w:p w14:paraId="7ED1DA9B" w14:textId="3912093E" w:rsidR="00D723A9" w:rsidRPr="00250190" w:rsidRDefault="00D723A9" w:rsidP="00D723A9">
            <w:pPr>
              <w:widowControl/>
              <w:rPr>
                <w:rFonts w:ascii="Times New Roman" w:eastAsia="等线" w:hAnsi="Times New Roman" w:cs="Times New Roman"/>
                <w:color w:val="000000"/>
                <w:kern w:val="0"/>
              </w:rPr>
            </w:pPr>
            <w:r w:rsidRPr="00250190">
              <w:rPr>
                <w:rFonts w:ascii="Times New Roman" w:hAnsi="Times New Roman" w:cs="Times New Roman"/>
              </w:rPr>
              <w:t>Public Procurement of Low-Carbon Steel Plants</w:t>
            </w:r>
          </w:p>
        </w:tc>
        <w:tc>
          <w:tcPr>
            <w:tcW w:w="4106" w:type="dxa"/>
            <w:tcBorders>
              <w:bottom w:val="single" w:sz="8" w:space="0" w:color="auto"/>
            </w:tcBorders>
            <w:shd w:val="clear" w:color="auto" w:fill="auto"/>
            <w:hideMark/>
          </w:tcPr>
          <w:p w14:paraId="53BC5DAD" w14:textId="554E0C40" w:rsidR="00D723A9" w:rsidRPr="00250190" w:rsidRDefault="00D723A9" w:rsidP="00D723A9">
            <w:pPr>
              <w:widowControl/>
              <w:rPr>
                <w:rFonts w:ascii="Times New Roman" w:eastAsia="等线" w:hAnsi="Times New Roman" w:cs="Times New Roman"/>
                <w:color w:val="000000"/>
                <w:kern w:val="0"/>
              </w:rPr>
            </w:pPr>
            <w:r w:rsidRPr="00250190">
              <w:rPr>
                <w:rFonts w:ascii="Times New Roman" w:hAnsi="Times New Roman" w:cs="Times New Roman"/>
              </w:rPr>
              <w:t>Support for the development of low-carbon technologies.</w:t>
            </w:r>
          </w:p>
        </w:tc>
      </w:tr>
      <w:tr w:rsidR="002D7D36" w:rsidRPr="00250190" w14:paraId="4E12960C" w14:textId="77777777" w:rsidTr="00374DF2">
        <w:trPr>
          <w:trHeight w:val="20"/>
        </w:trPr>
        <w:tc>
          <w:tcPr>
            <w:tcW w:w="0" w:type="auto"/>
            <w:tcBorders>
              <w:top w:val="single" w:sz="8" w:space="0" w:color="auto"/>
            </w:tcBorders>
            <w:shd w:val="clear" w:color="auto" w:fill="auto"/>
            <w:hideMark/>
          </w:tcPr>
          <w:p w14:paraId="6B2C703F" w14:textId="6ABEC284" w:rsidR="002D7D36" w:rsidRPr="00250190" w:rsidRDefault="002D7D36" w:rsidP="002D7D36">
            <w:pPr>
              <w:widowControl/>
              <w:rPr>
                <w:rFonts w:ascii="Times New Roman" w:eastAsia="等线" w:hAnsi="Times New Roman" w:cs="Times New Roman"/>
                <w:b/>
                <w:bCs/>
                <w:color w:val="000000"/>
                <w:kern w:val="0"/>
              </w:rPr>
            </w:pPr>
            <w:r w:rsidRPr="00250190">
              <w:rPr>
                <w:rFonts w:ascii="Times New Roman" w:hAnsi="Times New Roman" w:cs="Times New Roman"/>
                <w:b/>
                <w:bCs/>
              </w:rPr>
              <w:t xml:space="preserve">Power </w:t>
            </w:r>
          </w:p>
        </w:tc>
        <w:tc>
          <w:tcPr>
            <w:tcW w:w="3015" w:type="dxa"/>
            <w:tcBorders>
              <w:top w:val="single" w:sz="8" w:space="0" w:color="auto"/>
            </w:tcBorders>
            <w:shd w:val="clear" w:color="auto" w:fill="auto"/>
            <w:hideMark/>
          </w:tcPr>
          <w:p w14:paraId="22DB13E7" w14:textId="5901E86E" w:rsidR="002D7D36" w:rsidRPr="00250190" w:rsidRDefault="002D7D36" w:rsidP="002D7D36">
            <w:pPr>
              <w:widowControl/>
              <w:rPr>
                <w:rFonts w:ascii="Times New Roman" w:eastAsia="等线" w:hAnsi="Times New Roman" w:cs="Times New Roman"/>
                <w:color w:val="000000"/>
                <w:kern w:val="0"/>
              </w:rPr>
            </w:pPr>
            <w:r w:rsidRPr="00250190">
              <w:rPr>
                <w:rFonts w:ascii="Times New Roman" w:hAnsi="Times New Roman" w:cs="Times New Roman"/>
              </w:rPr>
              <w:t>Wind Power Price Subsidy</w:t>
            </w:r>
          </w:p>
        </w:tc>
        <w:tc>
          <w:tcPr>
            <w:tcW w:w="4106" w:type="dxa"/>
            <w:tcBorders>
              <w:top w:val="single" w:sz="8" w:space="0" w:color="auto"/>
            </w:tcBorders>
            <w:shd w:val="clear" w:color="auto" w:fill="auto"/>
            <w:hideMark/>
          </w:tcPr>
          <w:p w14:paraId="499757DD" w14:textId="325B1198" w:rsidR="002D7D36" w:rsidRPr="00250190" w:rsidRDefault="002D7D36" w:rsidP="002D7D36">
            <w:pPr>
              <w:widowControl/>
              <w:rPr>
                <w:rFonts w:ascii="Times New Roman" w:eastAsia="等线" w:hAnsi="Times New Roman" w:cs="Times New Roman"/>
                <w:color w:val="000000"/>
                <w:kern w:val="0"/>
              </w:rPr>
            </w:pPr>
            <w:r w:rsidRPr="00250190">
              <w:rPr>
                <w:rFonts w:ascii="Times New Roman" w:hAnsi="Times New Roman" w:cs="Times New Roman"/>
              </w:rPr>
              <w:t>10% subsidy.</w:t>
            </w:r>
          </w:p>
        </w:tc>
      </w:tr>
      <w:tr w:rsidR="002D7D36" w:rsidRPr="00250190" w14:paraId="4D311B37" w14:textId="77777777" w:rsidTr="00B212D9">
        <w:trPr>
          <w:trHeight w:val="20"/>
        </w:trPr>
        <w:tc>
          <w:tcPr>
            <w:tcW w:w="0" w:type="auto"/>
            <w:shd w:val="clear" w:color="auto" w:fill="auto"/>
            <w:vAlign w:val="center"/>
            <w:hideMark/>
          </w:tcPr>
          <w:p w14:paraId="3A131F41" w14:textId="77777777" w:rsidR="002D7D36" w:rsidRPr="00250190" w:rsidRDefault="002D7D36" w:rsidP="002D7D36">
            <w:pPr>
              <w:widowControl/>
              <w:rPr>
                <w:rFonts w:ascii="Times New Roman" w:eastAsia="等线" w:hAnsi="Times New Roman" w:cs="Times New Roman"/>
                <w:color w:val="000000"/>
                <w:kern w:val="0"/>
              </w:rPr>
            </w:pPr>
          </w:p>
        </w:tc>
        <w:tc>
          <w:tcPr>
            <w:tcW w:w="3015" w:type="dxa"/>
            <w:shd w:val="clear" w:color="auto" w:fill="auto"/>
            <w:hideMark/>
          </w:tcPr>
          <w:p w14:paraId="0AA2D2BD" w14:textId="5BBC7975" w:rsidR="002D7D36" w:rsidRPr="00250190" w:rsidRDefault="002D7D36" w:rsidP="002D7D36">
            <w:pPr>
              <w:widowControl/>
              <w:rPr>
                <w:rFonts w:ascii="Times New Roman" w:eastAsia="等线" w:hAnsi="Times New Roman" w:cs="Times New Roman"/>
                <w:color w:val="000000"/>
                <w:kern w:val="0"/>
              </w:rPr>
            </w:pPr>
            <w:r w:rsidRPr="00250190">
              <w:rPr>
                <w:rFonts w:ascii="Times New Roman" w:hAnsi="Times New Roman" w:cs="Times New Roman"/>
              </w:rPr>
              <w:t>Phase-out of Coal-Fired Power Plants</w:t>
            </w:r>
          </w:p>
        </w:tc>
        <w:tc>
          <w:tcPr>
            <w:tcW w:w="4106" w:type="dxa"/>
            <w:shd w:val="clear" w:color="auto" w:fill="auto"/>
            <w:hideMark/>
          </w:tcPr>
          <w:p w14:paraId="237B5323" w14:textId="00E7F515" w:rsidR="002D7D36" w:rsidRPr="00250190" w:rsidRDefault="002D7D36" w:rsidP="002D7D36">
            <w:pPr>
              <w:widowControl/>
              <w:rPr>
                <w:rFonts w:ascii="Times New Roman" w:eastAsia="等线" w:hAnsi="Times New Roman" w:cs="Times New Roman"/>
                <w:color w:val="000000"/>
                <w:kern w:val="0"/>
              </w:rPr>
            </w:pPr>
            <w:r w:rsidRPr="00250190">
              <w:rPr>
                <w:rFonts w:ascii="Times New Roman" w:hAnsi="Times New Roman" w:cs="Times New Roman"/>
              </w:rPr>
              <w:t>Implemented across all regions.</w:t>
            </w:r>
          </w:p>
        </w:tc>
      </w:tr>
      <w:tr w:rsidR="002D7D36" w:rsidRPr="00250190" w14:paraId="70234DA9" w14:textId="77777777" w:rsidTr="00B212D9">
        <w:trPr>
          <w:trHeight w:val="20"/>
        </w:trPr>
        <w:tc>
          <w:tcPr>
            <w:tcW w:w="0" w:type="auto"/>
            <w:shd w:val="clear" w:color="auto" w:fill="auto"/>
            <w:vAlign w:val="center"/>
            <w:hideMark/>
          </w:tcPr>
          <w:p w14:paraId="6FEDDAFA" w14:textId="77777777" w:rsidR="002D7D36" w:rsidRPr="00250190" w:rsidRDefault="002D7D36" w:rsidP="002D7D36">
            <w:pPr>
              <w:widowControl/>
              <w:rPr>
                <w:rFonts w:ascii="Times New Roman" w:eastAsia="等线" w:hAnsi="Times New Roman" w:cs="Times New Roman"/>
                <w:color w:val="000000"/>
                <w:kern w:val="0"/>
              </w:rPr>
            </w:pPr>
          </w:p>
        </w:tc>
        <w:tc>
          <w:tcPr>
            <w:tcW w:w="3015" w:type="dxa"/>
            <w:shd w:val="clear" w:color="auto" w:fill="auto"/>
            <w:hideMark/>
          </w:tcPr>
          <w:p w14:paraId="12F6AC66" w14:textId="0AB8931B" w:rsidR="002D7D36" w:rsidRPr="00250190" w:rsidRDefault="002D7D36" w:rsidP="002D7D36">
            <w:pPr>
              <w:widowControl/>
              <w:rPr>
                <w:rFonts w:ascii="Times New Roman" w:eastAsia="等线" w:hAnsi="Times New Roman" w:cs="Times New Roman"/>
                <w:color w:val="000000"/>
                <w:kern w:val="0"/>
              </w:rPr>
            </w:pPr>
            <w:r w:rsidRPr="00250190">
              <w:rPr>
                <w:rFonts w:ascii="Times New Roman" w:hAnsi="Times New Roman" w:cs="Times New Roman"/>
              </w:rPr>
              <w:t>Hydropower Investment Cap</w:t>
            </w:r>
          </w:p>
        </w:tc>
        <w:tc>
          <w:tcPr>
            <w:tcW w:w="4106" w:type="dxa"/>
            <w:shd w:val="clear" w:color="auto" w:fill="auto"/>
            <w:hideMark/>
          </w:tcPr>
          <w:p w14:paraId="1C407709" w14:textId="4AAB9CAA" w:rsidR="002D7D36" w:rsidRPr="00250190" w:rsidRDefault="002D7D36" w:rsidP="002D7D36">
            <w:pPr>
              <w:widowControl/>
              <w:rPr>
                <w:rFonts w:ascii="Times New Roman" w:eastAsia="等线" w:hAnsi="Times New Roman" w:cs="Times New Roman"/>
                <w:color w:val="000000"/>
                <w:kern w:val="0"/>
              </w:rPr>
            </w:pPr>
            <w:r w:rsidRPr="00250190">
              <w:rPr>
                <w:rFonts w:ascii="Times New Roman" w:hAnsi="Times New Roman" w:cs="Times New Roman"/>
              </w:rPr>
              <w:t>Set based on regional resource potential.</w:t>
            </w:r>
          </w:p>
        </w:tc>
      </w:tr>
      <w:tr w:rsidR="00A06065" w:rsidRPr="00250190" w14:paraId="18489AAD" w14:textId="77777777" w:rsidTr="00A12D5E">
        <w:trPr>
          <w:trHeight w:val="20"/>
        </w:trPr>
        <w:tc>
          <w:tcPr>
            <w:tcW w:w="0" w:type="auto"/>
            <w:shd w:val="clear" w:color="auto" w:fill="auto"/>
            <w:vAlign w:val="center"/>
            <w:hideMark/>
          </w:tcPr>
          <w:p w14:paraId="156751D8" w14:textId="77777777" w:rsidR="00A06065" w:rsidRPr="00250190" w:rsidRDefault="00A06065" w:rsidP="00A06065">
            <w:pPr>
              <w:widowControl/>
              <w:rPr>
                <w:rFonts w:ascii="Times New Roman" w:eastAsia="等线" w:hAnsi="Times New Roman" w:cs="Times New Roman"/>
                <w:color w:val="000000"/>
                <w:kern w:val="0"/>
              </w:rPr>
            </w:pPr>
          </w:p>
        </w:tc>
        <w:tc>
          <w:tcPr>
            <w:tcW w:w="3015" w:type="dxa"/>
            <w:shd w:val="clear" w:color="auto" w:fill="auto"/>
            <w:hideMark/>
          </w:tcPr>
          <w:p w14:paraId="37BB9247" w14:textId="5B11966B" w:rsidR="00A06065" w:rsidRPr="00250190" w:rsidRDefault="00A06065" w:rsidP="00A06065">
            <w:pPr>
              <w:widowControl/>
              <w:rPr>
                <w:rFonts w:ascii="Times New Roman" w:eastAsia="等线" w:hAnsi="Times New Roman" w:cs="Times New Roman"/>
                <w:color w:val="000000"/>
                <w:kern w:val="0"/>
              </w:rPr>
            </w:pPr>
            <w:r w:rsidRPr="00250190">
              <w:rPr>
                <w:rFonts w:ascii="Times New Roman" w:hAnsi="Times New Roman" w:cs="Times New Roman"/>
              </w:rPr>
              <w:t>Other Renewable Energy</w:t>
            </w:r>
          </w:p>
        </w:tc>
        <w:tc>
          <w:tcPr>
            <w:tcW w:w="4106" w:type="dxa"/>
            <w:shd w:val="clear" w:color="auto" w:fill="auto"/>
            <w:hideMark/>
          </w:tcPr>
          <w:p w14:paraId="31E77A39" w14:textId="25D2EB60" w:rsidR="00A06065" w:rsidRPr="00250190" w:rsidRDefault="00A06065" w:rsidP="00A06065">
            <w:pPr>
              <w:widowControl/>
              <w:rPr>
                <w:rFonts w:ascii="Times New Roman" w:eastAsia="等线" w:hAnsi="Times New Roman" w:cs="Times New Roman"/>
                <w:color w:val="000000"/>
                <w:kern w:val="0"/>
              </w:rPr>
            </w:pPr>
            <w:r w:rsidRPr="00250190">
              <w:rPr>
                <w:rFonts w:ascii="Times New Roman" w:hAnsi="Times New Roman" w:cs="Times New Roman"/>
              </w:rPr>
              <w:t>Capital Subsidy for Geothermal, Concentrated Solar Power, Biomass, Wave, and Tidal Energy</w:t>
            </w:r>
          </w:p>
        </w:tc>
      </w:tr>
      <w:tr w:rsidR="00A06065" w:rsidRPr="00250190" w14:paraId="4AEAB5BA" w14:textId="77777777" w:rsidTr="00DF2420">
        <w:trPr>
          <w:trHeight w:val="20"/>
        </w:trPr>
        <w:tc>
          <w:tcPr>
            <w:tcW w:w="0" w:type="auto"/>
            <w:tcBorders>
              <w:bottom w:val="single" w:sz="8" w:space="0" w:color="auto"/>
            </w:tcBorders>
            <w:shd w:val="clear" w:color="auto" w:fill="auto"/>
            <w:vAlign w:val="center"/>
            <w:hideMark/>
          </w:tcPr>
          <w:p w14:paraId="34629AA4" w14:textId="77777777" w:rsidR="00A06065" w:rsidRPr="00250190" w:rsidRDefault="00A06065" w:rsidP="00A06065">
            <w:pPr>
              <w:widowControl/>
              <w:rPr>
                <w:rFonts w:ascii="Times New Roman" w:eastAsia="等线" w:hAnsi="Times New Roman" w:cs="Times New Roman"/>
                <w:color w:val="000000"/>
                <w:kern w:val="0"/>
              </w:rPr>
            </w:pPr>
          </w:p>
        </w:tc>
        <w:tc>
          <w:tcPr>
            <w:tcW w:w="3015" w:type="dxa"/>
            <w:tcBorders>
              <w:bottom w:val="single" w:sz="8" w:space="0" w:color="auto"/>
            </w:tcBorders>
            <w:shd w:val="clear" w:color="auto" w:fill="auto"/>
            <w:hideMark/>
          </w:tcPr>
          <w:p w14:paraId="45D35D78" w14:textId="77FF5E34" w:rsidR="00A06065" w:rsidRPr="00250190" w:rsidRDefault="00A06065" w:rsidP="00A06065">
            <w:pPr>
              <w:widowControl/>
              <w:rPr>
                <w:rFonts w:ascii="Times New Roman" w:eastAsia="等线" w:hAnsi="Times New Roman" w:cs="Times New Roman"/>
                <w:color w:val="000000"/>
                <w:kern w:val="0"/>
              </w:rPr>
            </w:pPr>
            <w:r w:rsidRPr="00250190">
              <w:rPr>
                <w:rFonts w:ascii="Times New Roman" w:hAnsi="Times New Roman" w:cs="Times New Roman"/>
              </w:rPr>
              <w:t>Public Procurement of New Clean Power Generation Technologies</w:t>
            </w:r>
          </w:p>
        </w:tc>
        <w:tc>
          <w:tcPr>
            <w:tcW w:w="4106" w:type="dxa"/>
            <w:tcBorders>
              <w:bottom w:val="single" w:sz="8" w:space="0" w:color="auto"/>
            </w:tcBorders>
            <w:shd w:val="clear" w:color="auto" w:fill="auto"/>
            <w:hideMark/>
          </w:tcPr>
          <w:p w14:paraId="58B5A0E7" w14:textId="65CFE3B1" w:rsidR="00A06065" w:rsidRPr="00250190" w:rsidRDefault="00A06065" w:rsidP="00A06065">
            <w:pPr>
              <w:widowControl/>
              <w:rPr>
                <w:rFonts w:ascii="Times New Roman" w:eastAsia="等线" w:hAnsi="Times New Roman" w:cs="Times New Roman"/>
                <w:color w:val="000000"/>
                <w:kern w:val="0"/>
              </w:rPr>
            </w:pPr>
            <w:r w:rsidRPr="00250190">
              <w:rPr>
                <w:rFonts w:ascii="Times New Roman" w:hAnsi="Times New Roman" w:cs="Times New Roman"/>
              </w:rPr>
              <w:t>Promote market development.</w:t>
            </w:r>
          </w:p>
        </w:tc>
      </w:tr>
      <w:tr w:rsidR="00250190" w:rsidRPr="00250190" w14:paraId="1179C5AF" w14:textId="77777777" w:rsidTr="00A93C29">
        <w:trPr>
          <w:trHeight w:val="20"/>
        </w:trPr>
        <w:tc>
          <w:tcPr>
            <w:tcW w:w="0" w:type="auto"/>
            <w:tcBorders>
              <w:top w:val="single" w:sz="8" w:space="0" w:color="auto"/>
            </w:tcBorders>
            <w:shd w:val="clear" w:color="auto" w:fill="auto"/>
            <w:vAlign w:val="center"/>
            <w:hideMark/>
          </w:tcPr>
          <w:p w14:paraId="294A8B6B" w14:textId="5E69379C" w:rsidR="00250190" w:rsidRPr="00250190" w:rsidRDefault="00250190" w:rsidP="00250190">
            <w:pPr>
              <w:widowControl/>
              <w:rPr>
                <w:rFonts w:ascii="Times New Roman" w:eastAsia="等线" w:hAnsi="Times New Roman" w:cs="Times New Roman"/>
                <w:b/>
                <w:bCs/>
                <w:color w:val="000000"/>
                <w:kern w:val="0"/>
              </w:rPr>
            </w:pPr>
            <w:r w:rsidRPr="00250190">
              <w:rPr>
                <w:rFonts w:ascii="Times New Roman" w:eastAsia="等线" w:hAnsi="Times New Roman" w:cs="Times New Roman"/>
                <w:b/>
                <w:bCs/>
                <w:color w:val="000000"/>
                <w:kern w:val="0"/>
              </w:rPr>
              <w:t>Heating</w:t>
            </w:r>
          </w:p>
        </w:tc>
        <w:tc>
          <w:tcPr>
            <w:tcW w:w="3015" w:type="dxa"/>
            <w:tcBorders>
              <w:top w:val="single" w:sz="8" w:space="0" w:color="auto"/>
            </w:tcBorders>
            <w:shd w:val="clear" w:color="auto" w:fill="auto"/>
            <w:hideMark/>
          </w:tcPr>
          <w:p w14:paraId="2BD36276" w14:textId="50401F9A" w:rsidR="00250190" w:rsidRPr="00250190" w:rsidRDefault="00250190" w:rsidP="00250190">
            <w:pPr>
              <w:widowControl/>
              <w:rPr>
                <w:rFonts w:ascii="Times New Roman" w:eastAsia="等线" w:hAnsi="Times New Roman" w:cs="Times New Roman"/>
                <w:color w:val="000000"/>
                <w:kern w:val="0"/>
              </w:rPr>
            </w:pPr>
            <w:r w:rsidRPr="00250190">
              <w:rPr>
                <w:rFonts w:ascii="Times New Roman" w:hAnsi="Times New Roman" w:cs="Times New Roman"/>
              </w:rPr>
              <w:t>Renewable Energy Heating Support</w:t>
            </w:r>
          </w:p>
        </w:tc>
        <w:tc>
          <w:tcPr>
            <w:tcW w:w="4106" w:type="dxa"/>
            <w:tcBorders>
              <w:top w:val="single" w:sz="8" w:space="0" w:color="auto"/>
            </w:tcBorders>
            <w:shd w:val="clear" w:color="auto" w:fill="auto"/>
            <w:hideMark/>
          </w:tcPr>
          <w:p w14:paraId="6775137E" w14:textId="4553EFB1" w:rsidR="00250190" w:rsidRPr="00250190" w:rsidRDefault="00250190" w:rsidP="00250190">
            <w:pPr>
              <w:widowControl/>
              <w:rPr>
                <w:rFonts w:ascii="Times New Roman" w:eastAsia="等线" w:hAnsi="Times New Roman" w:cs="Times New Roman"/>
                <w:color w:val="000000"/>
                <w:kern w:val="0"/>
              </w:rPr>
            </w:pPr>
            <w:r w:rsidRPr="00250190">
              <w:rPr>
                <w:rFonts w:ascii="Times New Roman" w:hAnsi="Times New Roman" w:cs="Times New Roman"/>
              </w:rPr>
              <w:t>Ensure market participation.</w:t>
            </w:r>
          </w:p>
        </w:tc>
      </w:tr>
      <w:tr w:rsidR="00250190" w:rsidRPr="00250190" w14:paraId="4D38F490" w14:textId="77777777" w:rsidTr="00055F11">
        <w:trPr>
          <w:trHeight w:val="20"/>
        </w:trPr>
        <w:tc>
          <w:tcPr>
            <w:tcW w:w="0" w:type="auto"/>
            <w:shd w:val="clear" w:color="auto" w:fill="auto"/>
            <w:vAlign w:val="center"/>
            <w:hideMark/>
          </w:tcPr>
          <w:p w14:paraId="07A17630" w14:textId="77777777" w:rsidR="00250190" w:rsidRPr="00250190" w:rsidRDefault="00250190" w:rsidP="00250190">
            <w:pPr>
              <w:widowControl/>
              <w:rPr>
                <w:rFonts w:ascii="Times New Roman" w:eastAsia="等线" w:hAnsi="Times New Roman" w:cs="Times New Roman"/>
                <w:color w:val="000000"/>
                <w:kern w:val="0"/>
              </w:rPr>
            </w:pPr>
          </w:p>
        </w:tc>
        <w:tc>
          <w:tcPr>
            <w:tcW w:w="3015" w:type="dxa"/>
            <w:shd w:val="clear" w:color="auto" w:fill="auto"/>
            <w:hideMark/>
          </w:tcPr>
          <w:p w14:paraId="583FB7F9" w14:textId="789CA186" w:rsidR="00250190" w:rsidRPr="00250190" w:rsidRDefault="00250190" w:rsidP="00250190">
            <w:pPr>
              <w:widowControl/>
              <w:rPr>
                <w:rFonts w:ascii="Times New Roman" w:eastAsia="等线" w:hAnsi="Times New Roman" w:cs="Times New Roman"/>
                <w:color w:val="000000"/>
                <w:kern w:val="0"/>
              </w:rPr>
            </w:pPr>
            <w:r w:rsidRPr="00250190">
              <w:rPr>
                <w:rFonts w:ascii="Times New Roman" w:hAnsi="Times New Roman" w:cs="Times New Roman"/>
              </w:rPr>
              <w:t>Renewable Boiler Investment Subsidy</w:t>
            </w:r>
          </w:p>
        </w:tc>
        <w:tc>
          <w:tcPr>
            <w:tcW w:w="4106" w:type="dxa"/>
            <w:shd w:val="clear" w:color="auto" w:fill="auto"/>
            <w:hideMark/>
          </w:tcPr>
          <w:p w14:paraId="1F81AF90" w14:textId="51283DB2" w:rsidR="00250190" w:rsidRPr="00250190" w:rsidRDefault="00250190" w:rsidP="00250190">
            <w:pPr>
              <w:widowControl/>
              <w:rPr>
                <w:rFonts w:ascii="Times New Roman" w:eastAsia="等线" w:hAnsi="Times New Roman" w:cs="Times New Roman"/>
                <w:color w:val="000000"/>
                <w:kern w:val="0"/>
              </w:rPr>
            </w:pPr>
            <w:r w:rsidRPr="00250190">
              <w:rPr>
                <w:rFonts w:ascii="Times New Roman" w:hAnsi="Times New Roman" w:cs="Times New Roman"/>
              </w:rPr>
              <w:t>25% subsidy, phased out gradually from 2030 to 2050.</w:t>
            </w:r>
          </w:p>
        </w:tc>
      </w:tr>
      <w:tr w:rsidR="00250190" w:rsidRPr="00250190" w14:paraId="22279A8C" w14:textId="77777777" w:rsidTr="005730F0">
        <w:trPr>
          <w:trHeight w:val="20"/>
        </w:trPr>
        <w:tc>
          <w:tcPr>
            <w:tcW w:w="0" w:type="auto"/>
            <w:shd w:val="clear" w:color="auto" w:fill="auto"/>
            <w:vAlign w:val="center"/>
            <w:hideMark/>
          </w:tcPr>
          <w:p w14:paraId="1D0B1C92" w14:textId="77777777" w:rsidR="00250190" w:rsidRPr="00250190" w:rsidRDefault="00250190" w:rsidP="00250190">
            <w:pPr>
              <w:widowControl/>
              <w:rPr>
                <w:rFonts w:ascii="Times New Roman" w:eastAsia="等线" w:hAnsi="Times New Roman" w:cs="Times New Roman"/>
                <w:color w:val="000000"/>
                <w:kern w:val="0"/>
              </w:rPr>
            </w:pPr>
          </w:p>
        </w:tc>
        <w:tc>
          <w:tcPr>
            <w:tcW w:w="3015" w:type="dxa"/>
            <w:shd w:val="clear" w:color="auto" w:fill="auto"/>
            <w:hideMark/>
          </w:tcPr>
          <w:p w14:paraId="4E53C1DD" w14:textId="7034CE26" w:rsidR="00250190" w:rsidRPr="00250190" w:rsidRDefault="00250190" w:rsidP="00250190">
            <w:pPr>
              <w:widowControl/>
              <w:rPr>
                <w:rFonts w:ascii="Times New Roman" w:eastAsia="等线" w:hAnsi="Times New Roman" w:cs="Times New Roman"/>
                <w:color w:val="000000"/>
                <w:kern w:val="0"/>
              </w:rPr>
            </w:pPr>
            <w:r w:rsidRPr="00250190">
              <w:rPr>
                <w:rFonts w:ascii="Times New Roman" w:hAnsi="Times New Roman" w:cs="Times New Roman"/>
              </w:rPr>
              <w:t>Regional Heating and Solar Thermal Investment Cap</w:t>
            </w:r>
          </w:p>
        </w:tc>
        <w:tc>
          <w:tcPr>
            <w:tcW w:w="4106" w:type="dxa"/>
            <w:shd w:val="clear" w:color="auto" w:fill="auto"/>
            <w:hideMark/>
          </w:tcPr>
          <w:p w14:paraId="7E41174B" w14:textId="7D9ED42E" w:rsidR="00250190" w:rsidRPr="00250190" w:rsidRDefault="00250190" w:rsidP="00250190">
            <w:pPr>
              <w:widowControl/>
              <w:rPr>
                <w:rFonts w:ascii="Times New Roman" w:eastAsia="等线" w:hAnsi="Times New Roman" w:cs="Times New Roman"/>
                <w:color w:val="000000"/>
                <w:kern w:val="0"/>
              </w:rPr>
            </w:pPr>
            <w:r w:rsidRPr="00250190">
              <w:rPr>
                <w:rFonts w:ascii="Times New Roman" w:hAnsi="Times New Roman" w:cs="Times New Roman"/>
              </w:rPr>
              <w:t>Set based on regional potential.</w:t>
            </w:r>
          </w:p>
        </w:tc>
      </w:tr>
      <w:tr w:rsidR="00250190" w:rsidRPr="00250190" w14:paraId="3DC1E832" w14:textId="77777777" w:rsidTr="006D129B">
        <w:trPr>
          <w:trHeight w:val="20"/>
        </w:trPr>
        <w:tc>
          <w:tcPr>
            <w:tcW w:w="0" w:type="auto"/>
            <w:shd w:val="clear" w:color="auto" w:fill="auto"/>
            <w:vAlign w:val="center"/>
            <w:hideMark/>
          </w:tcPr>
          <w:p w14:paraId="6460C1E7" w14:textId="77777777" w:rsidR="00250190" w:rsidRPr="00250190" w:rsidRDefault="00250190" w:rsidP="00250190">
            <w:pPr>
              <w:widowControl/>
              <w:rPr>
                <w:rFonts w:ascii="Times New Roman" w:eastAsia="等线" w:hAnsi="Times New Roman" w:cs="Times New Roman"/>
                <w:color w:val="000000"/>
                <w:kern w:val="0"/>
              </w:rPr>
            </w:pPr>
          </w:p>
        </w:tc>
        <w:tc>
          <w:tcPr>
            <w:tcW w:w="3015" w:type="dxa"/>
            <w:shd w:val="clear" w:color="auto" w:fill="auto"/>
            <w:hideMark/>
          </w:tcPr>
          <w:p w14:paraId="6EFB9AF9" w14:textId="2F4BFE12" w:rsidR="00250190" w:rsidRPr="00250190" w:rsidRDefault="00250190" w:rsidP="00250190">
            <w:pPr>
              <w:widowControl/>
              <w:rPr>
                <w:rFonts w:ascii="Times New Roman" w:eastAsia="等线" w:hAnsi="Times New Roman" w:cs="Times New Roman"/>
                <w:color w:val="000000"/>
                <w:kern w:val="0"/>
              </w:rPr>
            </w:pPr>
            <w:r w:rsidRPr="00250190">
              <w:rPr>
                <w:rFonts w:ascii="Times New Roman" w:hAnsi="Times New Roman" w:cs="Times New Roman"/>
              </w:rPr>
              <w:t>Fossil Fuel Boiler Emission Tax</w:t>
            </w:r>
          </w:p>
        </w:tc>
        <w:tc>
          <w:tcPr>
            <w:tcW w:w="4106" w:type="dxa"/>
            <w:shd w:val="clear" w:color="auto" w:fill="auto"/>
            <w:hideMark/>
          </w:tcPr>
          <w:p w14:paraId="45753D6A" w14:textId="7CB130CE" w:rsidR="00250190" w:rsidRPr="00250190" w:rsidRDefault="00250190" w:rsidP="00250190">
            <w:pPr>
              <w:widowControl/>
              <w:rPr>
                <w:rFonts w:ascii="Times New Roman" w:eastAsia="等线" w:hAnsi="Times New Roman" w:cs="Times New Roman"/>
                <w:color w:val="000000"/>
                <w:kern w:val="0"/>
              </w:rPr>
            </w:pPr>
            <w:r w:rsidRPr="00250190">
              <w:rPr>
                <w:rFonts w:ascii="Times New Roman" w:hAnsi="Times New Roman" w:cs="Times New Roman"/>
              </w:rPr>
              <w:t>Increases annually based on emission factors, fixed after 2050.</w:t>
            </w:r>
          </w:p>
        </w:tc>
      </w:tr>
    </w:tbl>
    <w:p w14:paraId="4989E3C5" w14:textId="0D1C4257" w:rsidR="007806BC" w:rsidRDefault="00881DDB" w:rsidP="00251A7E">
      <w:pPr>
        <w:rPr>
          <w:rFonts w:ascii="Times New Roman" w:eastAsia="宋体" w:hAnsi="Times New Roman"/>
          <w:noProof/>
          <w:sz w:val="20"/>
          <w:szCs w:val="18"/>
        </w:rPr>
      </w:pPr>
      <w:r>
        <w:rPr>
          <w:rFonts w:ascii="Times New Roman" w:eastAsia="宋体" w:hAnsi="Times New Roman" w:hint="eastAsia"/>
          <w:noProof/>
          <w:szCs w:val="21"/>
        </w:rPr>
        <w:t>*</w:t>
      </w:r>
      <w:r w:rsidR="00B95A0A" w:rsidRPr="002D61E5">
        <w:rPr>
          <w:rFonts w:ascii="Times New Roman" w:eastAsia="宋体" w:hAnsi="Times New Roman" w:hint="eastAsia"/>
          <w:noProof/>
          <w:sz w:val="20"/>
          <w:szCs w:val="18"/>
        </w:rPr>
        <w:t xml:space="preserve">The scenarios in this paper refer to </w:t>
      </w:r>
      <w:r w:rsidR="00B95A0A" w:rsidRPr="002D61E5">
        <w:rPr>
          <w:rFonts w:ascii="Times New Roman" w:hAnsi="Times New Roman" w:cs="Times New Roman"/>
          <w:sz w:val="20"/>
          <w:szCs w:val="21"/>
        </w:rPr>
        <w:t>Mercure</w:t>
      </w:r>
      <w:r w:rsidR="00B95A0A" w:rsidRPr="002D61E5">
        <w:rPr>
          <w:rFonts w:ascii="Times New Roman" w:eastAsia="宋体" w:hAnsi="Times New Roman" w:hint="eastAsia"/>
          <w:noProof/>
          <w:sz w:val="20"/>
          <w:szCs w:val="18"/>
        </w:rPr>
        <w:t xml:space="preserve"> et al.</w:t>
      </w:r>
      <w:r w:rsidR="002D61E5" w:rsidRPr="002D61E5">
        <w:rPr>
          <w:rFonts w:ascii="Times New Roman" w:eastAsia="宋体" w:hAnsi="Times New Roman"/>
          <w:noProof/>
          <w:sz w:val="20"/>
          <w:szCs w:val="18"/>
          <w:vertAlign w:val="superscript"/>
        </w:rPr>
        <w:fldChar w:fldCharType="begin"/>
      </w:r>
      <w:r w:rsidR="002D61E5" w:rsidRPr="002D61E5">
        <w:rPr>
          <w:rFonts w:ascii="Times New Roman" w:eastAsia="宋体" w:hAnsi="Times New Roman"/>
          <w:noProof/>
          <w:sz w:val="20"/>
          <w:szCs w:val="18"/>
          <w:vertAlign w:val="superscript"/>
        </w:rPr>
        <w:instrText xml:space="preserve"> </w:instrText>
      </w:r>
      <w:r w:rsidR="002D61E5" w:rsidRPr="002D61E5">
        <w:rPr>
          <w:rFonts w:ascii="Times New Roman" w:eastAsia="宋体" w:hAnsi="Times New Roman" w:hint="eastAsia"/>
          <w:noProof/>
          <w:sz w:val="20"/>
          <w:szCs w:val="18"/>
          <w:vertAlign w:val="superscript"/>
        </w:rPr>
        <w:instrText>REF _Ref196755867 \r \h</w:instrText>
      </w:r>
      <w:r w:rsidR="002D61E5" w:rsidRPr="002D61E5">
        <w:rPr>
          <w:rFonts w:ascii="Times New Roman" w:eastAsia="宋体" w:hAnsi="Times New Roman"/>
          <w:noProof/>
          <w:sz w:val="20"/>
          <w:szCs w:val="18"/>
          <w:vertAlign w:val="superscript"/>
        </w:rPr>
        <w:instrText xml:space="preserve">  \* MERGEFORMAT </w:instrText>
      </w:r>
      <w:r w:rsidR="002D61E5" w:rsidRPr="002D61E5">
        <w:rPr>
          <w:rFonts w:ascii="Times New Roman" w:eastAsia="宋体" w:hAnsi="Times New Roman"/>
          <w:noProof/>
          <w:sz w:val="20"/>
          <w:szCs w:val="18"/>
          <w:vertAlign w:val="superscript"/>
        </w:rPr>
      </w:r>
      <w:r w:rsidR="002D61E5" w:rsidRPr="002D61E5">
        <w:rPr>
          <w:rFonts w:ascii="Times New Roman" w:eastAsia="宋体" w:hAnsi="Times New Roman"/>
          <w:noProof/>
          <w:sz w:val="20"/>
          <w:szCs w:val="18"/>
          <w:vertAlign w:val="superscript"/>
        </w:rPr>
        <w:fldChar w:fldCharType="separate"/>
      </w:r>
      <w:r w:rsidR="002D61E5" w:rsidRPr="002D61E5">
        <w:rPr>
          <w:rFonts w:ascii="Times New Roman" w:eastAsia="宋体" w:hAnsi="Times New Roman"/>
          <w:noProof/>
          <w:sz w:val="20"/>
          <w:szCs w:val="18"/>
          <w:vertAlign w:val="superscript"/>
        </w:rPr>
        <w:t>8</w:t>
      </w:r>
      <w:r w:rsidR="002D61E5" w:rsidRPr="002D61E5">
        <w:rPr>
          <w:rFonts w:ascii="Times New Roman" w:eastAsia="宋体" w:hAnsi="Times New Roman"/>
          <w:noProof/>
          <w:sz w:val="20"/>
          <w:szCs w:val="18"/>
          <w:vertAlign w:val="superscript"/>
        </w:rPr>
        <w:fldChar w:fldCharType="end"/>
      </w:r>
      <w:r w:rsidR="00B95A0A" w:rsidRPr="002D61E5">
        <w:rPr>
          <w:rFonts w:ascii="Times New Roman" w:eastAsia="宋体" w:hAnsi="Times New Roman" w:hint="eastAsia"/>
          <w:noProof/>
          <w:sz w:val="20"/>
          <w:szCs w:val="18"/>
        </w:rPr>
        <w:t xml:space="preserve"> and </w:t>
      </w:r>
      <w:r w:rsidR="002D61E5" w:rsidRPr="002D61E5">
        <w:rPr>
          <w:rFonts w:ascii="Times New Roman" w:hAnsi="Times New Roman" w:cs="Times New Roman"/>
          <w:sz w:val="20"/>
          <w:szCs w:val="21"/>
        </w:rPr>
        <w:t>Knobloch</w:t>
      </w:r>
      <w:r w:rsidR="00731399" w:rsidRPr="002D61E5">
        <w:rPr>
          <w:rFonts w:ascii="Times New Roman" w:eastAsia="宋体" w:hAnsi="Times New Roman" w:hint="eastAsia"/>
          <w:noProof/>
          <w:sz w:val="20"/>
          <w:szCs w:val="18"/>
        </w:rPr>
        <w:t xml:space="preserve"> </w:t>
      </w:r>
      <w:r w:rsidR="002D61E5" w:rsidRPr="002D61E5">
        <w:rPr>
          <w:rFonts w:ascii="Times New Roman" w:eastAsia="宋体" w:hAnsi="Times New Roman" w:hint="eastAsia"/>
          <w:noProof/>
          <w:sz w:val="20"/>
          <w:szCs w:val="18"/>
        </w:rPr>
        <w:t>et al.</w:t>
      </w:r>
      <w:r w:rsidR="002D61E5" w:rsidRPr="002D61E5">
        <w:rPr>
          <w:rFonts w:ascii="Times New Roman" w:eastAsia="宋体" w:hAnsi="Times New Roman"/>
          <w:noProof/>
          <w:sz w:val="20"/>
          <w:szCs w:val="18"/>
          <w:vertAlign w:val="superscript"/>
        </w:rPr>
        <w:fldChar w:fldCharType="begin"/>
      </w:r>
      <w:r w:rsidR="002D61E5" w:rsidRPr="002D61E5">
        <w:rPr>
          <w:rFonts w:ascii="Times New Roman" w:eastAsia="宋体" w:hAnsi="Times New Roman"/>
          <w:noProof/>
          <w:sz w:val="20"/>
          <w:szCs w:val="18"/>
          <w:vertAlign w:val="superscript"/>
        </w:rPr>
        <w:instrText xml:space="preserve"> </w:instrText>
      </w:r>
      <w:r w:rsidR="002D61E5" w:rsidRPr="002D61E5">
        <w:rPr>
          <w:rFonts w:ascii="Times New Roman" w:eastAsia="宋体" w:hAnsi="Times New Roman" w:hint="eastAsia"/>
          <w:noProof/>
          <w:sz w:val="20"/>
          <w:szCs w:val="18"/>
          <w:vertAlign w:val="superscript"/>
        </w:rPr>
        <w:instrText>REF _Ref196755871 \r \h</w:instrText>
      </w:r>
      <w:r w:rsidR="002D61E5" w:rsidRPr="002D61E5">
        <w:rPr>
          <w:rFonts w:ascii="Times New Roman" w:eastAsia="宋体" w:hAnsi="Times New Roman"/>
          <w:noProof/>
          <w:sz w:val="20"/>
          <w:szCs w:val="18"/>
          <w:vertAlign w:val="superscript"/>
        </w:rPr>
        <w:instrText xml:space="preserve">  \* MERGEFORMAT </w:instrText>
      </w:r>
      <w:r w:rsidR="002D61E5" w:rsidRPr="002D61E5">
        <w:rPr>
          <w:rFonts w:ascii="Times New Roman" w:eastAsia="宋体" w:hAnsi="Times New Roman"/>
          <w:noProof/>
          <w:sz w:val="20"/>
          <w:szCs w:val="18"/>
          <w:vertAlign w:val="superscript"/>
        </w:rPr>
      </w:r>
      <w:r w:rsidR="002D61E5" w:rsidRPr="002D61E5">
        <w:rPr>
          <w:rFonts w:ascii="Times New Roman" w:eastAsia="宋体" w:hAnsi="Times New Roman"/>
          <w:noProof/>
          <w:sz w:val="20"/>
          <w:szCs w:val="18"/>
          <w:vertAlign w:val="superscript"/>
        </w:rPr>
        <w:fldChar w:fldCharType="separate"/>
      </w:r>
      <w:r w:rsidR="002D61E5" w:rsidRPr="002D61E5">
        <w:rPr>
          <w:rFonts w:ascii="Times New Roman" w:eastAsia="宋体" w:hAnsi="Times New Roman"/>
          <w:noProof/>
          <w:sz w:val="20"/>
          <w:szCs w:val="18"/>
          <w:vertAlign w:val="superscript"/>
        </w:rPr>
        <w:t>9</w:t>
      </w:r>
      <w:r w:rsidR="002D61E5" w:rsidRPr="002D61E5">
        <w:rPr>
          <w:rFonts w:ascii="Times New Roman" w:eastAsia="宋体" w:hAnsi="Times New Roman"/>
          <w:noProof/>
          <w:sz w:val="20"/>
          <w:szCs w:val="18"/>
          <w:vertAlign w:val="superscript"/>
        </w:rPr>
        <w:fldChar w:fldCharType="end"/>
      </w:r>
      <w:r w:rsidR="00B95A0A" w:rsidRPr="002D61E5">
        <w:rPr>
          <w:rFonts w:ascii="Times New Roman" w:eastAsia="宋体" w:hAnsi="Times New Roman" w:hint="eastAsia"/>
          <w:noProof/>
          <w:sz w:val="20"/>
          <w:szCs w:val="18"/>
        </w:rPr>
        <w:t>.</w:t>
      </w:r>
      <w:r w:rsidR="00731399" w:rsidRPr="002D61E5">
        <w:rPr>
          <w:rFonts w:ascii="Times New Roman" w:eastAsia="宋体" w:hAnsi="Times New Roman" w:hint="eastAsia"/>
          <w:noProof/>
          <w:sz w:val="20"/>
          <w:szCs w:val="18"/>
        </w:rPr>
        <w:t xml:space="preserve">For </w:t>
      </w:r>
      <w:r w:rsidR="00731399" w:rsidRPr="002D61E5">
        <w:rPr>
          <w:rFonts w:ascii="Times New Roman" w:eastAsia="宋体" w:hAnsi="Times New Roman"/>
          <w:noProof/>
          <w:sz w:val="20"/>
          <w:szCs w:val="18"/>
        </w:rPr>
        <w:t>Energy efficiency: the energy efficiency of non-FTT sectors is assumed to change in line with the IEA</w:t>
      </w:r>
      <w:r w:rsidR="002D61E5" w:rsidRPr="002D61E5">
        <w:rPr>
          <w:rFonts w:ascii="Times New Roman" w:eastAsia="宋体" w:hAnsi="Times New Roman"/>
          <w:noProof/>
          <w:sz w:val="20"/>
          <w:szCs w:val="18"/>
          <w:vertAlign w:val="superscript"/>
        </w:rPr>
        <w:fldChar w:fldCharType="begin"/>
      </w:r>
      <w:r w:rsidR="002D61E5" w:rsidRPr="002D61E5">
        <w:rPr>
          <w:rFonts w:ascii="Times New Roman" w:eastAsia="宋体" w:hAnsi="Times New Roman"/>
          <w:noProof/>
          <w:sz w:val="20"/>
          <w:szCs w:val="18"/>
          <w:vertAlign w:val="superscript"/>
        </w:rPr>
        <w:instrText xml:space="preserve"> REF _Ref196755877 \r \h  \* MERGEFORMAT </w:instrText>
      </w:r>
      <w:r w:rsidR="002D61E5" w:rsidRPr="002D61E5">
        <w:rPr>
          <w:rFonts w:ascii="Times New Roman" w:eastAsia="宋体" w:hAnsi="Times New Roman"/>
          <w:noProof/>
          <w:sz w:val="20"/>
          <w:szCs w:val="18"/>
          <w:vertAlign w:val="superscript"/>
        </w:rPr>
      </w:r>
      <w:r w:rsidR="002D61E5" w:rsidRPr="002D61E5">
        <w:rPr>
          <w:rFonts w:ascii="Times New Roman" w:eastAsia="宋体" w:hAnsi="Times New Roman"/>
          <w:noProof/>
          <w:sz w:val="20"/>
          <w:szCs w:val="18"/>
          <w:vertAlign w:val="superscript"/>
        </w:rPr>
        <w:fldChar w:fldCharType="separate"/>
      </w:r>
      <w:r w:rsidR="002D61E5" w:rsidRPr="002D61E5">
        <w:rPr>
          <w:rFonts w:ascii="Times New Roman" w:eastAsia="宋体" w:hAnsi="Times New Roman"/>
          <w:noProof/>
          <w:sz w:val="20"/>
          <w:szCs w:val="18"/>
          <w:vertAlign w:val="superscript"/>
        </w:rPr>
        <w:t>10</w:t>
      </w:r>
      <w:r w:rsidR="002D61E5" w:rsidRPr="002D61E5">
        <w:rPr>
          <w:rFonts w:ascii="Times New Roman" w:eastAsia="宋体" w:hAnsi="Times New Roman"/>
          <w:noProof/>
          <w:sz w:val="20"/>
          <w:szCs w:val="18"/>
          <w:vertAlign w:val="superscript"/>
        </w:rPr>
        <w:fldChar w:fldCharType="end"/>
      </w:r>
      <w:r w:rsidR="00731399" w:rsidRPr="002D61E5">
        <w:rPr>
          <w:rFonts w:ascii="Times New Roman" w:eastAsia="宋体" w:hAnsi="Times New Roman"/>
          <w:noProof/>
          <w:sz w:val="20"/>
          <w:szCs w:val="18"/>
        </w:rPr>
        <w:t>, with corresponding investments in the respective sectors.</w:t>
      </w:r>
    </w:p>
    <w:p w14:paraId="1029C027" w14:textId="77777777" w:rsidR="007806BC" w:rsidRDefault="007806BC">
      <w:pPr>
        <w:widowControl/>
        <w:rPr>
          <w:rFonts w:ascii="Times New Roman" w:eastAsia="宋体" w:hAnsi="Times New Roman"/>
          <w:noProof/>
          <w:sz w:val="20"/>
          <w:szCs w:val="18"/>
        </w:rPr>
      </w:pPr>
      <w:r>
        <w:rPr>
          <w:rFonts w:ascii="Times New Roman" w:eastAsia="宋体" w:hAnsi="Times New Roman"/>
          <w:noProof/>
          <w:sz w:val="20"/>
          <w:szCs w:val="18"/>
        </w:rPr>
        <w:br w:type="page"/>
      </w:r>
    </w:p>
    <w:p w14:paraId="75044501" w14:textId="5F43D173" w:rsidR="004C7702" w:rsidRDefault="002A1404" w:rsidP="004C7702">
      <w:pPr>
        <w:jc w:val="both"/>
        <w:rPr>
          <w:rFonts w:hint="eastAsia"/>
          <w:noProof/>
        </w:rPr>
      </w:pPr>
      <w:r w:rsidRPr="00C61AC7">
        <w:rPr>
          <w:rFonts w:ascii="Times New Roman" w:hAnsi="Times New Roman" w:cs="Times New Roman"/>
          <w:b/>
          <w:bCs/>
        </w:rPr>
        <w:lastRenderedPageBreak/>
        <w:t xml:space="preserve">Supplementary </w:t>
      </w:r>
      <w:r>
        <w:rPr>
          <w:rFonts w:ascii="Times New Roman" w:hAnsi="Times New Roman" w:cs="Times New Roman" w:hint="eastAsia"/>
          <w:b/>
          <w:bCs/>
        </w:rPr>
        <w:t>Figure 1:</w:t>
      </w:r>
      <w:r w:rsidR="004C7702" w:rsidRPr="004C7702">
        <w:rPr>
          <w:rFonts w:hint="eastAsia"/>
        </w:rPr>
        <w:t xml:space="preserve"> </w:t>
      </w:r>
      <w:r w:rsidR="004C7702" w:rsidRPr="004C7702">
        <w:rPr>
          <w:rFonts w:ascii="Times New Roman" w:hAnsi="Times New Roman" w:cs="Times New Roman" w:hint="eastAsia"/>
          <w:b/>
          <w:bCs/>
        </w:rPr>
        <w:t>LCOE, LCOS and steelmaking technology choices in different scenarios.</w:t>
      </w:r>
      <w:r w:rsidR="004C7702" w:rsidRPr="004C7702">
        <w:rPr>
          <w:rFonts w:ascii="Times New Roman" w:hAnsi="Times New Roman" w:cs="Times New Roman"/>
          <w:b/>
          <w:bCs/>
        </w:rPr>
        <w:t xml:space="preserve"> </w:t>
      </w:r>
    </w:p>
    <w:p w14:paraId="3A882461" w14:textId="3AC6C9D9" w:rsidR="00B655A4" w:rsidRDefault="00B655A4" w:rsidP="004C7702">
      <w:pPr>
        <w:jc w:val="both"/>
        <w:rPr>
          <w:rFonts w:hint="eastAsia"/>
        </w:rPr>
      </w:pPr>
      <w:r>
        <w:rPr>
          <w:noProof/>
        </w:rPr>
        <w:drawing>
          <wp:inline distT="0" distB="0" distL="0" distR="0" wp14:anchorId="41665972" wp14:editId="4B41A629">
            <wp:extent cx="5265824" cy="4295104"/>
            <wp:effectExtent l="0" t="0" r="0" b="0"/>
            <wp:docPr id="9074458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r="4647"/>
                    <a:stretch>
                      <a:fillRect/>
                    </a:stretch>
                  </pic:blipFill>
                  <pic:spPr bwMode="auto">
                    <a:xfrm>
                      <a:off x="0" y="0"/>
                      <a:ext cx="5268009" cy="4296886"/>
                    </a:xfrm>
                    <a:prstGeom prst="rect">
                      <a:avLst/>
                    </a:prstGeom>
                    <a:noFill/>
                    <a:ln>
                      <a:noFill/>
                    </a:ln>
                    <a:extLst>
                      <a:ext uri="{53640926-AAD7-44D8-BBD7-CCE9431645EC}">
                        <a14:shadowObscured xmlns:a14="http://schemas.microsoft.com/office/drawing/2010/main"/>
                      </a:ext>
                    </a:extLst>
                  </pic:spPr>
                </pic:pic>
              </a:graphicData>
            </a:graphic>
          </wp:inline>
        </w:drawing>
      </w:r>
    </w:p>
    <w:p w14:paraId="129C6100" w14:textId="55EB4BD9" w:rsidR="00251A7E" w:rsidRDefault="004C7702" w:rsidP="00C61AC7">
      <w:pPr>
        <w:jc w:val="both"/>
        <w:rPr>
          <w:rFonts w:ascii="Times New Roman" w:hAnsi="Times New Roman" w:cs="Times New Roman"/>
        </w:rPr>
      </w:pPr>
      <w:r w:rsidRPr="004C7702">
        <w:rPr>
          <w:rFonts w:ascii="Times New Roman" w:eastAsia="宋体" w:hAnsi="Times New Roman" w:hint="eastAsia"/>
          <w:szCs w:val="21"/>
        </w:rPr>
        <w:t>This figure focuses on complementing the longitudinal time comparison between the two scenarios. It first focuses on the LCOE projections for the power system in different countries. The evolution of power system LCOE is influenced by a number of factors, including energy mix, technological advances, policy direction, and resource endowments. In the scenario without power transition, the evolution of electricity costs over time in each country is correlated with the historical generation mix, but the magnitude of change is small. In countries dominated by renewable energy, such as France, which is dominated by nuclear energy, and Brazil, which is dominated by hydropower, the stability of nuclear energy and hydropower keeps the cost of electricity generation low, (e.g., Brazil's LCOE ranges from 85.90-91.43). The LCOE costs of fossil-dominated countries, such as China, are affected by the fact that fossil energy prices are more susceptible to market fluctuations or supply chain influences, leading to an increase in LCOE over time in this scenario.</w:t>
      </w:r>
    </w:p>
    <w:p w14:paraId="199D014E" w14:textId="77777777" w:rsidR="00D077E5" w:rsidRDefault="00D077E5" w:rsidP="00D077E5">
      <w:pPr>
        <w:jc w:val="both"/>
        <w:rPr>
          <w:rFonts w:ascii="Times New Roman" w:hAnsi="Times New Roman" w:cs="Times New Roman"/>
        </w:rPr>
      </w:pPr>
    </w:p>
    <w:p w14:paraId="1EC2289E" w14:textId="6F95177C" w:rsidR="00D077E5" w:rsidRDefault="00D077E5" w:rsidP="00C61AC7">
      <w:pPr>
        <w:jc w:val="both"/>
        <w:rPr>
          <w:rFonts w:ascii="Times New Roman" w:hAnsi="Times New Roman" w:cs="Times New Roman"/>
          <w:b/>
          <w:bCs/>
        </w:rPr>
      </w:pPr>
      <w:r w:rsidRPr="00C61AC7">
        <w:rPr>
          <w:rFonts w:ascii="Times New Roman" w:hAnsi="Times New Roman" w:cs="Times New Roman"/>
          <w:b/>
          <w:bCs/>
        </w:rPr>
        <w:t xml:space="preserve">Supplementary </w:t>
      </w:r>
      <w:r>
        <w:rPr>
          <w:rFonts w:ascii="Times New Roman" w:hAnsi="Times New Roman" w:cs="Times New Roman" w:hint="eastAsia"/>
          <w:b/>
          <w:bCs/>
        </w:rPr>
        <w:t xml:space="preserve">Figure 2: </w:t>
      </w:r>
      <w:r w:rsidR="00C65BDB">
        <w:rPr>
          <w:rFonts w:ascii="Times New Roman" w:hAnsi="Times New Roman" w:cs="Times New Roman" w:hint="eastAsia"/>
          <w:b/>
          <w:bCs/>
        </w:rPr>
        <w:t>S</w:t>
      </w:r>
      <w:r w:rsidR="00C65BDB" w:rsidRPr="00C65BDB">
        <w:rPr>
          <w:rFonts w:ascii="Times New Roman" w:hAnsi="Times New Roman" w:cs="Times New Roman" w:hint="eastAsia"/>
          <w:b/>
          <w:bCs/>
        </w:rPr>
        <w:t>teel and electricity production changes</w:t>
      </w:r>
      <w:r w:rsidR="00C65BDB">
        <w:rPr>
          <w:rFonts w:ascii="Times New Roman" w:hAnsi="Times New Roman" w:cs="Times New Roman" w:hint="eastAsia"/>
          <w:b/>
          <w:bCs/>
        </w:rPr>
        <w:t>.</w:t>
      </w:r>
    </w:p>
    <w:p w14:paraId="07A472EB" w14:textId="3994B4B9" w:rsidR="00BE166C" w:rsidRPr="00D077E5" w:rsidRDefault="00BE166C" w:rsidP="00C61AC7">
      <w:pPr>
        <w:jc w:val="both"/>
        <w:rPr>
          <w:rFonts w:ascii="Times New Roman" w:hAnsi="Times New Roman" w:cs="Times New Roman"/>
        </w:rPr>
      </w:pPr>
      <w:r>
        <w:rPr>
          <w:noProof/>
        </w:rPr>
        <w:lastRenderedPageBreak/>
        <w:drawing>
          <wp:inline distT="0" distB="0" distL="0" distR="0" wp14:anchorId="18E5FAF2" wp14:editId="79452D5B">
            <wp:extent cx="5274310" cy="1758315"/>
            <wp:effectExtent l="0" t="0" r="2540" b="0"/>
            <wp:docPr id="13317486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74310" cy="1758315"/>
                    </a:xfrm>
                    <a:prstGeom prst="rect">
                      <a:avLst/>
                    </a:prstGeom>
                    <a:noFill/>
                    <a:ln>
                      <a:noFill/>
                    </a:ln>
                  </pic:spPr>
                </pic:pic>
              </a:graphicData>
            </a:graphic>
          </wp:inline>
        </w:drawing>
      </w:r>
    </w:p>
    <w:p w14:paraId="140A7CF5" w14:textId="6DEA04F3" w:rsidR="00D077E5" w:rsidRDefault="00D077E5" w:rsidP="00D077E5">
      <w:pPr>
        <w:jc w:val="both"/>
        <w:rPr>
          <w:rFonts w:ascii="Times New Roman" w:hAnsi="Times New Roman" w:cs="Times New Roman"/>
        </w:rPr>
      </w:pPr>
      <w:r w:rsidRPr="00487E28">
        <w:rPr>
          <w:rFonts w:ascii="Times New Roman" w:eastAsia="宋体" w:hAnsi="Times New Roman" w:hint="eastAsia"/>
          <w:szCs w:val="21"/>
        </w:rPr>
        <w:t>The E3ME model combines intermediate, investment, consumer, export and import demand to calculate future steel demand. Electricity infrastructure development leads to an increase in steel production, with a cumulative incremental steel production of 462.0 million tons from 2020-2050, in line with previous studies</w:t>
      </w:r>
      <w:r w:rsidRPr="00D077E5">
        <w:rPr>
          <w:rFonts w:ascii="Times New Roman" w:eastAsia="宋体" w:hAnsi="Times New Roman"/>
          <w:szCs w:val="21"/>
          <w:vertAlign w:val="superscript"/>
        </w:rPr>
        <w:fldChar w:fldCharType="begin"/>
      </w:r>
      <w:r w:rsidRPr="00D077E5">
        <w:rPr>
          <w:rFonts w:ascii="Times New Roman" w:eastAsia="宋体" w:hAnsi="Times New Roman"/>
          <w:szCs w:val="21"/>
          <w:vertAlign w:val="superscript"/>
        </w:rPr>
        <w:instrText xml:space="preserve"> </w:instrText>
      </w:r>
      <w:r w:rsidRPr="00D077E5">
        <w:rPr>
          <w:rFonts w:ascii="Times New Roman" w:eastAsia="宋体" w:hAnsi="Times New Roman" w:hint="eastAsia"/>
          <w:szCs w:val="21"/>
          <w:vertAlign w:val="superscript"/>
        </w:rPr>
        <w:instrText>REF _Ref193557871 \r \h</w:instrText>
      </w:r>
      <w:r w:rsidRPr="00D077E5">
        <w:rPr>
          <w:rFonts w:ascii="Times New Roman" w:eastAsia="宋体" w:hAnsi="Times New Roman"/>
          <w:szCs w:val="21"/>
          <w:vertAlign w:val="superscript"/>
        </w:rPr>
        <w:instrText xml:space="preserve"> </w:instrText>
      </w:r>
      <w:r>
        <w:rPr>
          <w:rFonts w:ascii="Times New Roman" w:eastAsia="宋体" w:hAnsi="Times New Roman"/>
          <w:szCs w:val="21"/>
          <w:vertAlign w:val="superscript"/>
        </w:rPr>
        <w:instrText xml:space="preserve"> \* MERGEFORMAT </w:instrText>
      </w:r>
      <w:r w:rsidRPr="00D077E5">
        <w:rPr>
          <w:rFonts w:ascii="Times New Roman" w:eastAsia="宋体" w:hAnsi="Times New Roman"/>
          <w:szCs w:val="21"/>
          <w:vertAlign w:val="superscript"/>
        </w:rPr>
      </w:r>
      <w:r w:rsidRPr="00D077E5">
        <w:rPr>
          <w:rFonts w:ascii="Times New Roman" w:eastAsia="宋体" w:hAnsi="Times New Roman"/>
          <w:szCs w:val="21"/>
          <w:vertAlign w:val="superscript"/>
        </w:rPr>
        <w:fldChar w:fldCharType="separate"/>
      </w:r>
      <w:r w:rsidRPr="00D077E5">
        <w:rPr>
          <w:rFonts w:ascii="Times New Roman" w:eastAsia="宋体" w:hAnsi="Times New Roman"/>
          <w:szCs w:val="21"/>
          <w:vertAlign w:val="superscript"/>
        </w:rPr>
        <w:t>11</w:t>
      </w:r>
      <w:r w:rsidRPr="00D077E5">
        <w:rPr>
          <w:rFonts w:ascii="Times New Roman" w:eastAsia="宋体" w:hAnsi="Times New Roman"/>
          <w:szCs w:val="21"/>
          <w:vertAlign w:val="superscript"/>
        </w:rPr>
        <w:fldChar w:fldCharType="end"/>
      </w:r>
      <w:r w:rsidRPr="00487E28">
        <w:rPr>
          <w:rFonts w:ascii="Times New Roman" w:eastAsia="宋体" w:hAnsi="Times New Roman"/>
          <w:szCs w:val="21"/>
          <w:vertAlign w:val="superscript"/>
        </w:rPr>
        <w:fldChar w:fldCharType="begin"/>
      </w:r>
      <w:r w:rsidRPr="00487E28">
        <w:rPr>
          <w:rFonts w:ascii="Times New Roman" w:eastAsia="宋体" w:hAnsi="Times New Roman"/>
          <w:szCs w:val="21"/>
          <w:vertAlign w:val="superscript"/>
        </w:rPr>
        <w:instrText xml:space="preserve"> </w:instrText>
      </w:r>
      <w:r w:rsidRPr="00487E28">
        <w:rPr>
          <w:rFonts w:ascii="Times New Roman" w:eastAsia="宋体" w:hAnsi="Times New Roman" w:hint="eastAsia"/>
          <w:szCs w:val="21"/>
          <w:vertAlign w:val="superscript"/>
        </w:rPr>
        <w:instrText>REF _Ref193557871 \r \h</w:instrText>
      </w:r>
      <w:r w:rsidRPr="00487E28">
        <w:rPr>
          <w:rFonts w:ascii="Times New Roman" w:eastAsia="宋体" w:hAnsi="Times New Roman"/>
          <w:szCs w:val="21"/>
          <w:vertAlign w:val="superscript"/>
        </w:rPr>
        <w:instrText xml:space="preserve"> </w:instrText>
      </w:r>
      <w:r>
        <w:rPr>
          <w:rFonts w:ascii="Times New Roman" w:eastAsia="宋体" w:hAnsi="Times New Roman"/>
          <w:szCs w:val="21"/>
          <w:vertAlign w:val="superscript"/>
        </w:rPr>
        <w:instrText xml:space="preserve"> \* MERGEFORMAT </w:instrText>
      </w:r>
      <w:r w:rsidRPr="00487E28">
        <w:rPr>
          <w:rFonts w:ascii="Times New Roman" w:eastAsia="宋体" w:hAnsi="Times New Roman"/>
          <w:szCs w:val="21"/>
          <w:vertAlign w:val="superscript"/>
        </w:rPr>
      </w:r>
      <w:r w:rsidRPr="00487E28">
        <w:rPr>
          <w:rFonts w:ascii="Times New Roman" w:eastAsia="宋体" w:hAnsi="Times New Roman"/>
          <w:szCs w:val="21"/>
          <w:vertAlign w:val="superscript"/>
        </w:rPr>
        <w:fldChar w:fldCharType="separate"/>
      </w:r>
      <w:r w:rsidRPr="00487E28">
        <w:rPr>
          <w:rFonts w:ascii="Times New Roman" w:eastAsia="宋体" w:hAnsi="Times New Roman"/>
          <w:szCs w:val="21"/>
          <w:vertAlign w:val="superscript"/>
        </w:rPr>
        <w:fldChar w:fldCharType="end"/>
      </w:r>
      <w:r w:rsidRPr="00487E28">
        <w:rPr>
          <w:rFonts w:ascii="Times New Roman" w:eastAsia="宋体" w:hAnsi="Times New Roman" w:hint="eastAsia"/>
          <w:szCs w:val="21"/>
        </w:rPr>
        <w:t xml:space="preserve">. The increase in steel production is particularly high in the pre-power transition period due to large-scale investments in new energy technologies, </w:t>
      </w:r>
      <w:r w:rsidRPr="00E41149">
        <w:rPr>
          <w:rFonts w:ascii="Times New Roman" w:eastAsia="宋体" w:hAnsi="Times New Roman" w:hint="eastAsia"/>
          <w:szCs w:val="21"/>
        </w:rPr>
        <w:t>peaking at 40.9 Mt around 2026</w:t>
      </w:r>
      <w:r>
        <w:rPr>
          <w:rFonts w:ascii="Times New Roman" w:eastAsia="宋体" w:hAnsi="Times New Roman" w:hint="eastAsia"/>
          <w:szCs w:val="21"/>
        </w:rPr>
        <w:t>.</w:t>
      </w:r>
      <w:r w:rsidRPr="00487E28">
        <w:rPr>
          <w:rFonts w:ascii="Times New Roman" w:eastAsia="宋体" w:hAnsi="Times New Roman" w:hint="eastAsia"/>
          <w:szCs w:val="21"/>
        </w:rPr>
        <w:t xml:space="preserve"> </w:t>
      </w:r>
      <w:r w:rsidRPr="00155EB3">
        <w:rPr>
          <w:rFonts w:ascii="Times New Roman" w:eastAsia="宋体" w:hAnsi="Times New Roman" w:hint="eastAsia"/>
          <w:szCs w:val="21"/>
        </w:rPr>
        <w:t>This is especially notable in China and India, where there is significant demand for clean power development.</w:t>
      </w:r>
      <w:r w:rsidR="00CC3A01" w:rsidRPr="00CC3A01">
        <w:rPr>
          <w:rFonts w:hint="eastAsia"/>
        </w:rPr>
        <w:t xml:space="preserve"> </w:t>
      </w:r>
      <w:r w:rsidR="00CC3A01" w:rsidRPr="00CC3A01">
        <w:rPr>
          <w:rFonts w:ascii="Times New Roman" w:eastAsia="宋体" w:hAnsi="Times New Roman" w:hint="eastAsia"/>
          <w:szCs w:val="21"/>
        </w:rPr>
        <w:t>At the same time, we simulate the changes in power generation caused by the steel transition. Electrification transitions in the steel industry always cause a rise in electricity production, with the largest rise in China.</w:t>
      </w:r>
    </w:p>
    <w:p w14:paraId="6EB0B089" w14:textId="77777777" w:rsidR="00891A4A" w:rsidRDefault="00891A4A" w:rsidP="00C61AC7">
      <w:pPr>
        <w:jc w:val="both"/>
        <w:rPr>
          <w:rFonts w:ascii="Times New Roman" w:hAnsi="Times New Roman" w:cs="Times New Roman"/>
        </w:rPr>
      </w:pPr>
    </w:p>
    <w:p w14:paraId="54329D8E" w14:textId="4C9F9ABF" w:rsidR="00447283" w:rsidRDefault="00554C09" w:rsidP="00554C09">
      <w:pPr>
        <w:jc w:val="both"/>
        <w:rPr>
          <w:rFonts w:ascii="Times New Roman" w:hAnsi="Times New Roman" w:cs="Times New Roman"/>
          <w:b/>
          <w:bCs/>
        </w:rPr>
      </w:pPr>
      <w:r w:rsidRPr="00C61AC7">
        <w:rPr>
          <w:rFonts w:ascii="Times New Roman" w:hAnsi="Times New Roman" w:cs="Times New Roman"/>
          <w:b/>
          <w:bCs/>
        </w:rPr>
        <w:t xml:space="preserve">Supplementary </w:t>
      </w:r>
      <w:r>
        <w:rPr>
          <w:rFonts w:ascii="Times New Roman" w:hAnsi="Times New Roman" w:cs="Times New Roman" w:hint="eastAsia"/>
          <w:b/>
          <w:bCs/>
        </w:rPr>
        <w:t xml:space="preserve">Figure </w:t>
      </w:r>
      <w:r w:rsidR="00A76F90">
        <w:rPr>
          <w:rFonts w:ascii="Times New Roman" w:hAnsi="Times New Roman" w:cs="Times New Roman" w:hint="eastAsia"/>
          <w:b/>
          <w:bCs/>
        </w:rPr>
        <w:t>3</w:t>
      </w:r>
      <w:r>
        <w:rPr>
          <w:rFonts w:ascii="Times New Roman" w:hAnsi="Times New Roman" w:cs="Times New Roman" w:hint="eastAsia"/>
          <w:b/>
          <w:bCs/>
        </w:rPr>
        <w:t xml:space="preserve">: </w:t>
      </w:r>
      <w:r w:rsidR="00891A4A">
        <w:rPr>
          <w:rFonts w:ascii="Times New Roman" w:hAnsi="Times New Roman" w:cs="Times New Roman" w:hint="eastAsia"/>
          <w:b/>
          <w:bCs/>
        </w:rPr>
        <w:t>Iron and steel carbon intensity</w:t>
      </w:r>
      <w:r w:rsidR="00C65BDB">
        <w:rPr>
          <w:rFonts w:ascii="Times New Roman" w:hAnsi="Times New Roman" w:cs="Times New Roman" w:hint="eastAsia"/>
          <w:b/>
          <w:bCs/>
        </w:rPr>
        <w:t>.</w:t>
      </w:r>
    </w:p>
    <w:p w14:paraId="50FFDC2E" w14:textId="3F3F6263" w:rsidR="008347AA" w:rsidRDefault="002547BD" w:rsidP="00554C09">
      <w:pPr>
        <w:jc w:val="both"/>
        <w:rPr>
          <w:rFonts w:ascii="Times New Roman" w:hAnsi="Times New Roman" w:cs="Times New Roman"/>
          <w:b/>
          <w:bCs/>
        </w:rPr>
      </w:pPr>
      <w:r>
        <w:rPr>
          <w:noProof/>
        </w:rPr>
        <mc:AlternateContent>
          <mc:Choice Requires="wps">
            <w:drawing>
              <wp:anchor distT="0" distB="0" distL="114300" distR="114300" simplePos="0" relativeHeight="251659264" behindDoc="0" locked="0" layoutInCell="1" allowOverlap="1" wp14:anchorId="31EC164A" wp14:editId="38A9979F">
                <wp:simplePos x="0" y="0"/>
                <wp:positionH relativeFrom="column">
                  <wp:posOffset>3588249</wp:posOffset>
                </wp:positionH>
                <wp:positionV relativeFrom="paragraph">
                  <wp:posOffset>2569981</wp:posOffset>
                </wp:positionV>
                <wp:extent cx="1688630" cy="852462"/>
                <wp:effectExtent l="0" t="0" r="26035" b="24130"/>
                <wp:wrapNone/>
                <wp:docPr id="1057382006" name="矩形 10"/>
                <wp:cNvGraphicFramePr/>
                <a:graphic xmlns:a="http://schemas.openxmlformats.org/drawingml/2006/main">
                  <a:graphicData uri="http://schemas.microsoft.com/office/word/2010/wordprocessingShape">
                    <wps:wsp>
                      <wps:cNvSpPr/>
                      <wps:spPr>
                        <a:xfrm>
                          <a:off x="0" y="0"/>
                          <a:ext cx="1688630" cy="852462"/>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A866E" id="矩形 10" o:spid="_x0000_s1026" style="position:absolute;margin-left:282.55pt;margin-top:202.35pt;width:132.95pt;height:6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" filled="f" strokecolor="#c00000">
                <v:stroke joinstyle="round"/>
              </v:rect>
            </w:pict>
          </mc:Fallback>
        </mc:AlternateContent>
      </w:r>
      <w:r w:rsidR="008347AA">
        <w:rPr>
          <w:noProof/>
        </w:rPr>
        <w:drawing>
          <wp:inline distT="0" distB="0" distL="0" distR="0" wp14:anchorId="7843AD64" wp14:editId="167C28B6">
            <wp:extent cx="5274310" cy="3515995"/>
            <wp:effectExtent l="0" t="0" r="2540" b="8255"/>
            <wp:docPr id="50548173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47AFE9E0" w14:textId="3EC9B859" w:rsidR="008347AA" w:rsidRPr="00FE65E6" w:rsidRDefault="00FE65E6" w:rsidP="00554C09">
      <w:pPr>
        <w:jc w:val="both"/>
        <w:rPr>
          <w:rFonts w:ascii="Times New Roman" w:hAnsi="Times New Roman" w:cs="Times New Roman"/>
          <w:b/>
          <w:bCs/>
        </w:rPr>
      </w:pPr>
      <w:r w:rsidRPr="00447283">
        <w:rPr>
          <w:rFonts w:ascii="Times New Roman" w:hAnsi="Times New Roman" w:cs="Times New Roman" w:hint="eastAsia"/>
        </w:rPr>
        <w:t xml:space="preserve">The higher direct emissions intensity in the ALL scenario is mainly due to the negative effect of electricity prices. The carbon emissions gap is more pronounced in China, India and South </w:t>
      </w:r>
      <w:r w:rsidRPr="00447283">
        <w:rPr>
          <w:rFonts w:ascii="Times New Roman" w:hAnsi="Times New Roman" w:cs="Times New Roman" w:hint="eastAsia"/>
        </w:rPr>
        <w:lastRenderedPageBreak/>
        <w:t>Korea</w:t>
      </w:r>
      <w:r>
        <w:rPr>
          <w:rFonts w:ascii="Times New Roman" w:hAnsi="Times New Roman" w:cs="Times New Roman" w:hint="eastAsia"/>
        </w:rPr>
        <w:t>.</w:t>
      </w:r>
    </w:p>
    <w:p w14:paraId="1838E6B2" w14:textId="220064C9" w:rsidR="00554C09" w:rsidRPr="00331353" w:rsidRDefault="00331353" w:rsidP="00892B73">
      <w:pPr>
        <w:jc w:val="both"/>
        <w:rPr>
          <w:rFonts w:hint="eastAsia"/>
        </w:rPr>
      </w:pPr>
      <w:r w:rsidRPr="00C61AC7">
        <w:rPr>
          <w:rFonts w:ascii="Times New Roman" w:hAnsi="Times New Roman" w:cs="Times New Roman"/>
          <w:b/>
          <w:bCs/>
        </w:rPr>
        <w:t xml:space="preserve">Supplementary </w:t>
      </w:r>
      <w:r>
        <w:rPr>
          <w:rFonts w:ascii="Times New Roman" w:hAnsi="Times New Roman" w:cs="Times New Roman" w:hint="eastAsia"/>
          <w:b/>
          <w:bCs/>
        </w:rPr>
        <w:t xml:space="preserve">Figure </w:t>
      </w:r>
      <w:r w:rsidR="00001C40">
        <w:rPr>
          <w:rFonts w:ascii="Times New Roman" w:hAnsi="Times New Roman" w:cs="Times New Roman" w:hint="eastAsia"/>
          <w:b/>
          <w:bCs/>
        </w:rPr>
        <w:t>4</w:t>
      </w:r>
      <w:r>
        <w:rPr>
          <w:rFonts w:ascii="Times New Roman" w:hAnsi="Times New Roman" w:cs="Times New Roman" w:hint="eastAsia"/>
          <w:b/>
          <w:bCs/>
        </w:rPr>
        <w:t xml:space="preserve">: </w:t>
      </w:r>
      <w:r w:rsidR="00001C40">
        <w:rPr>
          <w:rFonts w:ascii="Times New Roman" w:hAnsi="Times New Roman" w:cs="Times New Roman" w:hint="eastAsia"/>
          <w:b/>
          <w:bCs/>
        </w:rPr>
        <w:t>Electricity</w:t>
      </w:r>
      <w:r>
        <w:rPr>
          <w:rFonts w:ascii="Times New Roman" w:hAnsi="Times New Roman" w:cs="Times New Roman" w:hint="eastAsia"/>
          <w:b/>
          <w:bCs/>
        </w:rPr>
        <w:t xml:space="preserve"> carbon intensity</w:t>
      </w:r>
      <w:r w:rsidR="00C65BDB">
        <w:rPr>
          <w:rFonts w:ascii="Times New Roman" w:hAnsi="Times New Roman" w:cs="Times New Roman" w:hint="eastAsia"/>
          <w:b/>
          <w:bCs/>
        </w:rPr>
        <w:t>.</w:t>
      </w:r>
    </w:p>
    <w:p w14:paraId="3FDCC89A" w14:textId="5768DF5F" w:rsidR="00E4658A" w:rsidRDefault="00F2720E" w:rsidP="00554C09">
      <w:pPr>
        <w:rPr>
          <w:rFonts w:hint="eastAsia"/>
        </w:rPr>
      </w:pPr>
      <w:r>
        <w:rPr>
          <w:rFonts w:hint="eastAsia"/>
          <w:noProof/>
        </w:rPr>
        <w:drawing>
          <wp:inline distT="0" distB="0" distL="0" distR="0" wp14:anchorId="6056F6B0" wp14:editId="6929781D">
            <wp:extent cx="5343181" cy="1541780"/>
            <wp:effectExtent l="0" t="0" r="0" b="1270"/>
            <wp:docPr id="6360147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76475" cy="1551387"/>
                    </a:xfrm>
                    <a:prstGeom prst="rect">
                      <a:avLst/>
                    </a:prstGeom>
                    <a:noFill/>
                  </pic:spPr>
                </pic:pic>
              </a:graphicData>
            </a:graphic>
          </wp:inline>
        </w:drawing>
      </w:r>
    </w:p>
    <w:p w14:paraId="23EA5A85" w14:textId="3183B162" w:rsidR="008347AA" w:rsidRDefault="000115A9" w:rsidP="00554C09">
      <w:pPr>
        <w:rPr>
          <w:rFonts w:hint="eastAsia"/>
        </w:rPr>
      </w:pPr>
      <w:r>
        <w:rPr>
          <w:noProof/>
        </w:rPr>
        <mc:AlternateContent>
          <mc:Choice Requires="wps">
            <w:drawing>
              <wp:anchor distT="0" distB="0" distL="114300" distR="114300" simplePos="0" relativeHeight="251661312" behindDoc="0" locked="0" layoutInCell="1" allowOverlap="1" wp14:anchorId="0EF69D84" wp14:editId="4F63C890">
                <wp:simplePos x="0" y="0"/>
                <wp:positionH relativeFrom="column">
                  <wp:posOffset>3454879</wp:posOffset>
                </wp:positionH>
                <wp:positionV relativeFrom="paragraph">
                  <wp:posOffset>2299671</wp:posOffset>
                </wp:positionV>
                <wp:extent cx="1688630" cy="813388"/>
                <wp:effectExtent l="0" t="0" r="26035" b="25400"/>
                <wp:wrapNone/>
                <wp:docPr id="842189417" name="矩形 10"/>
                <wp:cNvGraphicFramePr/>
                <a:graphic xmlns:a="http://schemas.openxmlformats.org/drawingml/2006/main">
                  <a:graphicData uri="http://schemas.microsoft.com/office/word/2010/wordprocessingShape">
                    <wps:wsp>
                      <wps:cNvSpPr/>
                      <wps:spPr>
                        <a:xfrm>
                          <a:off x="0" y="0"/>
                          <a:ext cx="1688630" cy="813388"/>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2B857" id="矩形 10" o:spid="_x0000_s1026" style="position:absolute;margin-left:272.05pt;margin-top:181.1pt;width:132.95pt;height:6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" filled="f" strokecolor="#c00000">
                <v:stroke joinstyle="round"/>
              </v:rect>
            </w:pict>
          </mc:Fallback>
        </mc:AlternateContent>
      </w:r>
      <w:r w:rsidR="008347AA">
        <w:rPr>
          <w:noProof/>
        </w:rPr>
        <w:drawing>
          <wp:inline distT="0" distB="0" distL="0" distR="0" wp14:anchorId="40A6548C" wp14:editId="1FBFA726">
            <wp:extent cx="5142015" cy="3056756"/>
            <wp:effectExtent l="0" t="0" r="1905" b="0"/>
            <wp:docPr id="196886989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t="4560" b="6265"/>
                    <a:stretch>
                      <a:fillRect/>
                    </a:stretch>
                  </pic:blipFill>
                  <pic:spPr bwMode="auto">
                    <a:xfrm>
                      <a:off x="0" y="0"/>
                      <a:ext cx="5145720" cy="3058958"/>
                    </a:xfrm>
                    <a:prstGeom prst="rect">
                      <a:avLst/>
                    </a:prstGeom>
                    <a:noFill/>
                    <a:ln>
                      <a:noFill/>
                    </a:ln>
                    <a:extLst>
                      <a:ext uri="{53640926-AAD7-44D8-BBD7-CCE9431645EC}">
                        <a14:shadowObscured xmlns:a14="http://schemas.microsoft.com/office/drawing/2010/main"/>
                      </a:ext>
                    </a:extLst>
                  </pic:spPr>
                </pic:pic>
              </a:graphicData>
            </a:graphic>
          </wp:inline>
        </w:drawing>
      </w:r>
    </w:p>
    <w:p w14:paraId="63ADCB07" w14:textId="48F0F536" w:rsidR="00554C09" w:rsidRDefault="00640BB3" w:rsidP="00C61AC7">
      <w:pPr>
        <w:jc w:val="both"/>
        <w:rPr>
          <w:rFonts w:ascii="Times New Roman" w:hAnsi="Times New Roman" w:cs="Times New Roman"/>
        </w:rPr>
      </w:pPr>
      <w:r w:rsidRPr="00640BB3">
        <w:rPr>
          <w:rFonts w:ascii="Times New Roman" w:eastAsia="宋体" w:hAnsi="Times New Roman" w:hint="eastAsia"/>
          <w:szCs w:val="21"/>
        </w:rPr>
        <w:t xml:space="preserve">The implementation of the transformation of the electricity sector, the imposition of energy taxes on sectoral emissions and the subsidization of renewable energies have accelerated the diffusion of solar photovoltaic (PV), which is progressively the least expensive production technology in terms of LCOE costs, depending on the regional accumulation of investments in research and development and the abundance of solar energy resources. Photovoltaic occupies the majority of the market, followed by biomass (as a pipeline for negative emissions) and wind (which in our scenario is gradually replaced by photovoltaic). The growth of hydropower is limited by the number of undammed rivers that can be dammed, while other renewable energy sources have low or uncompetitive potential (geothermal and ocean-related systems). </w:t>
      </w:r>
      <w:r w:rsidR="00AC21EF" w:rsidRPr="00AC21EF">
        <w:rPr>
          <w:rFonts w:ascii="Times New Roman" w:eastAsia="宋体" w:hAnsi="Times New Roman" w:hint="eastAsia"/>
          <w:szCs w:val="21"/>
        </w:rPr>
        <w:t>China, factors, Korea and Japan have seen large declines in electricity emissions intensity</w:t>
      </w:r>
      <w:r w:rsidR="00AC21EF">
        <w:rPr>
          <w:rFonts w:ascii="Times New Roman" w:eastAsia="宋体" w:hAnsi="Times New Roman" w:hint="eastAsia"/>
          <w:szCs w:val="21"/>
        </w:rPr>
        <w:t>.</w:t>
      </w:r>
    </w:p>
    <w:p w14:paraId="7B13EFB4" w14:textId="77777777" w:rsidR="007602B3" w:rsidRDefault="007602B3" w:rsidP="00C61AC7">
      <w:pPr>
        <w:jc w:val="both"/>
        <w:rPr>
          <w:rFonts w:ascii="Times New Roman" w:hAnsi="Times New Roman" w:cs="Times New Roman"/>
        </w:rPr>
      </w:pPr>
    </w:p>
    <w:p w14:paraId="104BD0E7" w14:textId="5C50E885" w:rsidR="007602B3" w:rsidRDefault="007602B3" w:rsidP="00BC3434">
      <w:pPr>
        <w:rPr>
          <w:rFonts w:ascii="Times New Roman" w:eastAsia="宋体" w:hAnsi="Times New Roman"/>
          <w:b/>
          <w:bCs/>
          <w:szCs w:val="21"/>
        </w:rPr>
      </w:pPr>
      <w:r w:rsidRPr="008C3834">
        <w:rPr>
          <w:rFonts w:ascii="Times New Roman" w:eastAsia="宋体" w:hAnsi="Times New Roman"/>
          <w:b/>
          <w:bCs/>
          <w:szCs w:val="21"/>
        </w:rPr>
        <w:t>References</w:t>
      </w:r>
    </w:p>
    <w:p w14:paraId="1CA5E1E4" w14:textId="6AAF5AF0" w:rsidR="009C5A75" w:rsidRDefault="009C5A75" w:rsidP="009431C2">
      <w:pPr>
        <w:pStyle w:val="a9"/>
        <w:numPr>
          <w:ilvl w:val="0"/>
          <w:numId w:val="2"/>
        </w:numPr>
        <w:jc w:val="both"/>
        <w:rPr>
          <w:rFonts w:ascii="Times New Roman" w:hAnsi="Times New Roman" w:cs="Times New Roman"/>
        </w:rPr>
      </w:pPr>
      <w:bookmarkStart w:id="3" w:name="_Ref196754942"/>
      <w:bookmarkStart w:id="4" w:name="_Ref196753132"/>
      <w:r w:rsidRPr="009C5A75">
        <w:rPr>
          <w:rFonts w:ascii="Times New Roman" w:hAnsi="Times New Roman" w:cs="Times New Roman"/>
        </w:rPr>
        <w:lastRenderedPageBreak/>
        <w:t xml:space="preserve">Eufrasio, RM, EP </w:t>
      </w:r>
      <w:proofErr w:type="spellStart"/>
      <w:r w:rsidRPr="009C5A75">
        <w:rPr>
          <w:rFonts w:ascii="Times New Roman" w:hAnsi="Times New Roman" w:cs="Times New Roman"/>
        </w:rPr>
        <w:t>Kantzas</w:t>
      </w:r>
      <w:proofErr w:type="spellEnd"/>
      <w:r w:rsidR="007B4A0B">
        <w:rPr>
          <w:rFonts w:ascii="Times New Roman" w:hAnsi="Times New Roman" w:cs="Times New Roman" w:hint="eastAsia"/>
        </w:rPr>
        <w:t>,</w:t>
      </w:r>
      <w:r>
        <w:rPr>
          <w:rFonts w:ascii="Times New Roman" w:hAnsi="Times New Roman" w:cs="Times New Roman" w:hint="eastAsia"/>
        </w:rPr>
        <w:t xml:space="preserve"> </w:t>
      </w:r>
      <w:r w:rsidR="007B4A0B" w:rsidRPr="007B4A0B">
        <w:rPr>
          <w:rFonts w:ascii="Times New Roman" w:hAnsi="Times New Roman" w:cs="Times New Roman"/>
        </w:rPr>
        <w:t>and</w:t>
      </w:r>
      <w:r w:rsidRPr="009C5A75">
        <w:rPr>
          <w:rFonts w:ascii="Times New Roman" w:hAnsi="Times New Roman" w:cs="Times New Roman"/>
        </w:rPr>
        <w:t xml:space="preserve"> NR Edwards </w:t>
      </w:r>
      <w:r w:rsidRPr="009B0019">
        <w:rPr>
          <w:rFonts w:ascii="Times New Roman" w:hAnsi="Times New Roman" w:cs="Times New Roman"/>
        </w:rPr>
        <w:t>et al.</w:t>
      </w:r>
      <w:r w:rsidRPr="009C5A75">
        <w:rPr>
          <w:rFonts w:ascii="Times New Roman" w:hAnsi="Times New Roman" w:cs="Times New Roman"/>
        </w:rPr>
        <w:t xml:space="preserve"> Environmental and health impacts of atmospheric CO2 removal by enhanced rock weathering depend on nations</w:t>
      </w:r>
      <w:r>
        <w:rPr>
          <w:rFonts w:ascii="Times New Roman" w:hAnsi="Times New Roman" w:cs="Times New Roman" w:hint="eastAsia"/>
        </w:rPr>
        <w:t xml:space="preserve"> </w:t>
      </w:r>
      <w:r>
        <w:rPr>
          <w:rFonts w:ascii="Times New Roman" w:hAnsi="Times New Roman" w:cs="Times New Roman"/>
        </w:rPr>
        <w:t>“</w:t>
      </w:r>
      <w:r w:rsidRPr="009C5A75">
        <w:rPr>
          <w:rFonts w:ascii="Times New Roman" w:hAnsi="Times New Roman" w:cs="Times New Roman"/>
        </w:rPr>
        <w:t>energy mix</w:t>
      </w:r>
      <w:r>
        <w:rPr>
          <w:rFonts w:ascii="Times New Roman" w:hAnsi="Times New Roman" w:cs="Times New Roman"/>
        </w:rPr>
        <w:t>”</w:t>
      </w:r>
      <w:r w:rsidRPr="009C5A75">
        <w:rPr>
          <w:rFonts w:ascii="Times New Roman" w:hAnsi="Times New Roman" w:cs="Times New Roman"/>
        </w:rPr>
        <w:t>, Communications Earth and Environment, 3, Article 106 (2022).</w:t>
      </w:r>
      <w:bookmarkEnd w:id="3"/>
    </w:p>
    <w:p w14:paraId="0645DDAD" w14:textId="7FA794BE" w:rsidR="009C5A75" w:rsidRDefault="009C5A75" w:rsidP="007B4A0B">
      <w:pPr>
        <w:pStyle w:val="a9"/>
        <w:numPr>
          <w:ilvl w:val="0"/>
          <w:numId w:val="2"/>
        </w:numPr>
        <w:jc w:val="both"/>
        <w:rPr>
          <w:rFonts w:ascii="Times New Roman" w:hAnsi="Times New Roman" w:cs="Times New Roman"/>
        </w:rPr>
      </w:pPr>
      <w:bookmarkStart w:id="5" w:name="_Ref196754943"/>
      <w:proofErr w:type="spellStart"/>
      <w:r w:rsidRPr="009C5A75">
        <w:rPr>
          <w:rFonts w:ascii="Times New Roman" w:hAnsi="Times New Roman" w:cs="Times New Roman"/>
        </w:rPr>
        <w:t>Kantzas</w:t>
      </w:r>
      <w:proofErr w:type="spellEnd"/>
      <w:r w:rsidRPr="009C5A75">
        <w:rPr>
          <w:rFonts w:ascii="Times New Roman" w:hAnsi="Times New Roman" w:cs="Times New Roman"/>
        </w:rPr>
        <w:t>, EP, M Val Martin</w:t>
      </w:r>
      <w:r w:rsidR="007B4A0B">
        <w:rPr>
          <w:rFonts w:ascii="Times New Roman" w:hAnsi="Times New Roman" w:cs="Times New Roman" w:hint="eastAsia"/>
        </w:rPr>
        <w:t>,</w:t>
      </w:r>
      <w:r>
        <w:rPr>
          <w:rFonts w:ascii="Times New Roman" w:hAnsi="Times New Roman" w:cs="Times New Roman" w:hint="eastAsia"/>
        </w:rPr>
        <w:t xml:space="preserve"> </w:t>
      </w:r>
      <w:r w:rsidR="007B4A0B" w:rsidRPr="007B4A0B">
        <w:rPr>
          <w:rFonts w:ascii="Times New Roman" w:hAnsi="Times New Roman" w:cs="Times New Roman"/>
        </w:rPr>
        <w:t>and</w:t>
      </w:r>
      <w:r w:rsidRPr="009C5A75">
        <w:rPr>
          <w:rFonts w:ascii="Times New Roman" w:hAnsi="Times New Roman" w:cs="Times New Roman"/>
        </w:rPr>
        <w:t xml:space="preserve"> MR Lomas </w:t>
      </w:r>
      <w:r w:rsidRPr="009B0019">
        <w:rPr>
          <w:rFonts w:ascii="Times New Roman" w:hAnsi="Times New Roman" w:cs="Times New Roman"/>
        </w:rPr>
        <w:t>et al.</w:t>
      </w:r>
      <w:r>
        <w:rPr>
          <w:rFonts w:ascii="Times New Roman" w:hAnsi="Times New Roman" w:cs="Times New Roman" w:hint="eastAsia"/>
        </w:rPr>
        <w:t xml:space="preserve"> </w:t>
      </w:r>
      <w:r w:rsidRPr="009C5A75">
        <w:rPr>
          <w:rFonts w:ascii="Times New Roman" w:hAnsi="Times New Roman" w:cs="Times New Roman"/>
        </w:rPr>
        <w:t>Substantial carbon drawdown potential from enhanced rock weathering in the United Kingdom, Nature Geoscience, 15, 382–389(2022).</w:t>
      </w:r>
      <w:bookmarkEnd w:id="5"/>
      <w:r w:rsidRPr="009C5A75">
        <w:rPr>
          <w:rFonts w:ascii="Times New Roman" w:hAnsi="Times New Roman" w:cs="Times New Roman"/>
        </w:rPr>
        <w:t xml:space="preserve"> </w:t>
      </w:r>
    </w:p>
    <w:p w14:paraId="2D8BC192" w14:textId="101E90D9" w:rsidR="007B4A0B" w:rsidRPr="009C5A75" w:rsidRDefault="007B4A0B" w:rsidP="007B4A0B">
      <w:pPr>
        <w:pStyle w:val="a9"/>
        <w:numPr>
          <w:ilvl w:val="0"/>
          <w:numId w:val="2"/>
        </w:numPr>
        <w:jc w:val="both"/>
        <w:rPr>
          <w:rFonts w:ascii="Times New Roman" w:hAnsi="Times New Roman" w:cs="Times New Roman"/>
        </w:rPr>
      </w:pPr>
      <w:bookmarkStart w:id="6" w:name="_Ref196754944"/>
      <w:r w:rsidRPr="007B4A0B">
        <w:rPr>
          <w:rFonts w:ascii="Times New Roman" w:hAnsi="Times New Roman" w:cs="Times New Roman"/>
        </w:rPr>
        <w:t>Kiss-</w:t>
      </w:r>
      <w:proofErr w:type="spellStart"/>
      <w:r w:rsidRPr="007B4A0B">
        <w:rPr>
          <w:rFonts w:ascii="Times New Roman" w:hAnsi="Times New Roman" w:cs="Times New Roman"/>
        </w:rPr>
        <w:t>Dobronyi</w:t>
      </w:r>
      <w:proofErr w:type="spellEnd"/>
      <w:r w:rsidRPr="007B4A0B">
        <w:rPr>
          <w:rFonts w:ascii="Times New Roman" w:hAnsi="Times New Roman" w:cs="Times New Roman"/>
        </w:rPr>
        <w:t>, B, D Fazekas, and H Pollitt</w:t>
      </w:r>
      <w:r>
        <w:rPr>
          <w:rFonts w:ascii="Times New Roman" w:hAnsi="Times New Roman" w:cs="Times New Roman" w:hint="eastAsia"/>
        </w:rPr>
        <w:t>.</w:t>
      </w:r>
      <w:r w:rsidRPr="007B4A0B">
        <w:rPr>
          <w:rFonts w:ascii="Times New Roman" w:hAnsi="Times New Roman" w:cs="Times New Roman"/>
        </w:rPr>
        <w:t xml:space="preserve"> Macroeconomic assessment of possible Green Recovery scenarios in Visegrad countries, Society and Economy, 43(3), 227–252(2021).</w:t>
      </w:r>
      <w:bookmarkEnd w:id="6"/>
    </w:p>
    <w:p w14:paraId="76A7349A" w14:textId="48AF4062" w:rsidR="000425F2" w:rsidRDefault="000425F2" w:rsidP="009B0019">
      <w:pPr>
        <w:pStyle w:val="a9"/>
        <w:numPr>
          <w:ilvl w:val="0"/>
          <w:numId w:val="2"/>
        </w:numPr>
        <w:jc w:val="both"/>
        <w:rPr>
          <w:rFonts w:ascii="Times New Roman" w:hAnsi="Times New Roman" w:cs="Times New Roman"/>
        </w:rPr>
      </w:pPr>
      <w:bookmarkStart w:id="7" w:name="_Ref196754965"/>
      <w:r w:rsidRPr="009B0019">
        <w:rPr>
          <w:rFonts w:ascii="Times New Roman" w:hAnsi="Times New Roman" w:cs="Times New Roman"/>
        </w:rPr>
        <w:t xml:space="preserve">Mercure, J.-F. et al. Environmental impact assessment for climate change policy with the simulation-based integrated assessment model E3ME-FTT-GENIE. Energy </w:t>
      </w:r>
      <w:proofErr w:type="spellStart"/>
      <w:r w:rsidRPr="009B0019">
        <w:rPr>
          <w:rFonts w:ascii="Times New Roman" w:hAnsi="Times New Roman" w:cs="Times New Roman"/>
        </w:rPr>
        <w:t>Strateg</w:t>
      </w:r>
      <w:proofErr w:type="spellEnd"/>
      <w:r w:rsidRPr="009B0019">
        <w:rPr>
          <w:rFonts w:ascii="Times New Roman" w:hAnsi="Times New Roman" w:cs="Times New Roman"/>
        </w:rPr>
        <w:t>. Rev. 20, 195–208 (2018).</w:t>
      </w:r>
      <w:bookmarkEnd w:id="4"/>
      <w:bookmarkEnd w:id="7"/>
    </w:p>
    <w:p w14:paraId="7788BD76" w14:textId="10791EC1" w:rsidR="00B87967" w:rsidRDefault="00B87967" w:rsidP="009B0019">
      <w:pPr>
        <w:pStyle w:val="a9"/>
        <w:numPr>
          <w:ilvl w:val="0"/>
          <w:numId w:val="2"/>
        </w:numPr>
        <w:jc w:val="both"/>
        <w:rPr>
          <w:rFonts w:ascii="Times New Roman" w:hAnsi="Times New Roman" w:cs="Times New Roman"/>
        </w:rPr>
      </w:pPr>
      <w:bookmarkStart w:id="8" w:name="_Ref196754970"/>
      <w:r w:rsidRPr="00B87967">
        <w:rPr>
          <w:rFonts w:ascii="Times New Roman" w:hAnsi="Times New Roman" w:cs="Times New Roman" w:hint="eastAsia"/>
        </w:rPr>
        <w:t>Cambridge Econometrics</w:t>
      </w:r>
      <w:r w:rsidRPr="00B87967">
        <w:rPr>
          <w:rFonts w:ascii="Times New Roman" w:hAnsi="Times New Roman" w:cs="Times New Roman"/>
        </w:rPr>
        <w:t xml:space="preserve">. E3ME Model Manual 2022. </w:t>
      </w:r>
      <w:hyperlink r:id="rId43" w:tgtFrame="_new" w:history="1">
        <w:r w:rsidRPr="00B87967">
          <w:rPr>
            <w:rStyle w:val="ae"/>
            <w:rFonts w:ascii="Times New Roman" w:hAnsi="Times New Roman" w:cs="Times New Roman"/>
          </w:rPr>
          <w:t>https://www.e3me.com/wp-content/uploads/sites/3/2022/12/E3MEManual2022-1.pdf</w:t>
        </w:r>
      </w:hyperlink>
      <w:r w:rsidRPr="00B87967">
        <w:rPr>
          <w:rFonts w:ascii="Times New Roman" w:hAnsi="Times New Roman" w:cs="Times New Roman"/>
        </w:rPr>
        <w:t>.</w:t>
      </w:r>
      <w:bookmarkEnd w:id="8"/>
    </w:p>
    <w:p w14:paraId="628D8F8C" w14:textId="15E921B8" w:rsidR="001A051B" w:rsidRDefault="001A051B" w:rsidP="009B0019">
      <w:pPr>
        <w:pStyle w:val="a9"/>
        <w:numPr>
          <w:ilvl w:val="0"/>
          <w:numId w:val="2"/>
        </w:numPr>
        <w:jc w:val="both"/>
        <w:rPr>
          <w:rFonts w:ascii="Times New Roman" w:hAnsi="Times New Roman" w:cs="Times New Roman"/>
        </w:rPr>
      </w:pPr>
      <w:bookmarkStart w:id="9" w:name="_Ref196755197"/>
      <w:r w:rsidRPr="001A051B">
        <w:rPr>
          <w:rFonts w:ascii="Times New Roman" w:hAnsi="Times New Roman" w:cs="Times New Roman"/>
        </w:rPr>
        <w:t xml:space="preserve">Mercure, J. F. </w:t>
      </w:r>
      <w:proofErr w:type="spellStart"/>
      <w:proofErr w:type="gramStart"/>
      <w:r w:rsidRPr="001A051B">
        <w:rPr>
          <w:rFonts w:ascii="Times New Roman" w:hAnsi="Times New Roman" w:cs="Times New Roman"/>
        </w:rPr>
        <w:t>FTT:Power</w:t>
      </w:r>
      <w:proofErr w:type="spellEnd"/>
      <w:proofErr w:type="gramEnd"/>
      <w:r w:rsidRPr="001A051B">
        <w:rPr>
          <w:rFonts w:ascii="Times New Roman" w:hAnsi="Times New Roman" w:cs="Times New Roman"/>
        </w:rPr>
        <w:t>: A global model of the power sector with induced technological change and natural resource depletion. Energy Policy</w:t>
      </w:r>
      <w:r w:rsidR="00BB0B28">
        <w:rPr>
          <w:rFonts w:ascii="Times New Roman" w:hAnsi="Times New Roman" w:cs="Times New Roman" w:hint="eastAsia"/>
        </w:rPr>
        <w:t>,</w:t>
      </w:r>
      <w:r w:rsidRPr="001A051B">
        <w:rPr>
          <w:rFonts w:ascii="Times New Roman" w:hAnsi="Times New Roman" w:cs="Times New Roman"/>
        </w:rPr>
        <w:t xml:space="preserve"> 48, 799-811 (2012).</w:t>
      </w:r>
      <w:bookmarkEnd w:id="9"/>
    </w:p>
    <w:p w14:paraId="608F2A2A" w14:textId="2261C98C" w:rsidR="001A051B" w:rsidRPr="009B0019" w:rsidRDefault="001A051B" w:rsidP="009B0019">
      <w:pPr>
        <w:pStyle w:val="a9"/>
        <w:numPr>
          <w:ilvl w:val="0"/>
          <w:numId w:val="2"/>
        </w:numPr>
        <w:jc w:val="both"/>
        <w:rPr>
          <w:rFonts w:ascii="Times New Roman" w:hAnsi="Times New Roman" w:cs="Times New Roman"/>
        </w:rPr>
      </w:pPr>
      <w:bookmarkStart w:id="10" w:name="_Ref196755198"/>
      <w:r w:rsidRPr="001A051B">
        <w:rPr>
          <w:rFonts w:ascii="Times New Roman" w:hAnsi="Times New Roman" w:cs="Times New Roman"/>
        </w:rPr>
        <w:t>Lam A, Lee S, Mercure J-F,</w:t>
      </w:r>
      <w:r>
        <w:rPr>
          <w:rFonts w:ascii="Times New Roman" w:hAnsi="Times New Roman" w:cs="Times New Roman" w:hint="eastAsia"/>
        </w:rPr>
        <w:t xml:space="preserve"> and</w:t>
      </w:r>
      <w:r w:rsidRPr="001A051B">
        <w:rPr>
          <w:rFonts w:ascii="Times New Roman" w:hAnsi="Times New Roman" w:cs="Times New Roman"/>
        </w:rPr>
        <w:t xml:space="preserve"> Cho Y </w:t>
      </w:r>
      <w:r w:rsidRPr="009B0019">
        <w:rPr>
          <w:rFonts w:ascii="Times New Roman" w:hAnsi="Times New Roman" w:cs="Times New Roman"/>
        </w:rPr>
        <w:t>et al.</w:t>
      </w:r>
      <w:r w:rsidRPr="001A051B">
        <w:rPr>
          <w:rFonts w:ascii="Times New Roman" w:hAnsi="Times New Roman" w:cs="Times New Roman"/>
        </w:rPr>
        <w:t xml:space="preserve"> Policies and Predictions for a Low-Carbon Transition by 2050 in Passenger Vehicles in East Asia: Based on an Analysis Using the E3ME-FTT Model. Sustainability</w:t>
      </w:r>
      <w:r>
        <w:rPr>
          <w:rFonts w:ascii="Times New Roman" w:hAnsi="Times New Roman" w:cs="Times New Roman" w:hint="eastAsia"/>
        </w:rPr>
        <w:t>,</w:t>
      </w:r>
      <w:r w:rsidRPr="001A051B">
        <w:rPr>
          <w:rFonts w:ascii="Times New Roman" w:hAnsi="Times New Roman" w:cs="Times New Roman"/>
        </w:rPr>
        <w:t xml:space="preserve"> 10(5)</w:t>
      </w:r>
      <w:r>
        <w:rPr>
          <w:rFonts w:ascii="Times New Roman" w:hAnsi="Times New Roman" w:cs="Times New Roman" w:hint="eastAsia"/>
        </w:rPr>
        <w:t xml:space="preserve">, </w:t>
      </w:r>
      <w:r w:rsidRPr="001A051B">
        <w:rPr>
          <w:rFonts w:ascii="Times New Roman" w:hAnsi="Times New Roman" w:cs="Times New Roman"/>
        </w:rPr>
        <w:t xml:space="preserve">1612 </w:t>
      </w:r>
      <w:r>
        <w:rPr>
          <w:rFonts w:ascii="Times New Roman" w:hAnsi="Times New Roman" w:cs="Times New Roman" w:hint="eastAsia"/>
        </w:rPr>
        <w:t>(</w:t>
      </w:r>
      <w:r w:rsidRPr="001A051B">
        <w:rPr>
          <w:rFonts w:ascii="Times New Roman" w:hAnsi="Times New Roman" w:cs="Times New Roman"/>
        </w:rPr>
        <w:t>2018</w:t>
      </w:r>
      <w:r>
        <w:rPr>
          <w:rFonts w:ascii="Times New Roman" w:hAnsi="Times New Roman" w:cs="Times New Roman" w:hint="eastAsia"/>
        </w:rPr>
        <w:t>)</w:t>
      </w:r>
      <w:r w:rsidRPr="001A051B">
        <w:rPr>
          <w:rFonts w:ascii="Times New Roman" w:hAnsi="Times New Roman" w:cs="Times New Roman"/>
        </w:rPr>
        <w:t>.</w:t>
      </w:r>
      <w:bookmarkEnd w:id="10"/>
    </w:p>
    <w:p w14:paraId="778DB8A9" w14:textId="3A3171D7" w:rsidR="007602B3" w:rsidRDefault="007602B3" w:rsidP="009B0019">
      <w:pPr>
        <w:pStyle w:val="a9"/>
        <w:numPr>
          <w:ilvl w:val="0"/>
          <w:numId w:val="2"/>
        </w:numPr>
        <w:jc w:val="both"/>
        <w:rPr>
          <w:rFonts w:ascii="Times New Roman" w:hAnsi="Times New Roman" w:cs="Times New Roman"/>
        </w:rPr>
      </w:pPr>
      <w:bookmarkStart w:id="11" w:name="_Ref196755867"/>
      <w:r w:rsidRPr="009B0019">
        <w:rPr>
          <w:rFonts w:ascii="Times New Roman" w:hAnsi="Times New Roman" w:cs="Times New Roman"/>
        </w:rPr>
        <w:t xml:space="preserve">Mercure, JF., Salas, P., </w:t>
      </w:r>
      <w:proofErr w:type="spellStart"/>
      <w:r w:rsidRPr="009B0019">
        <w:rPr>
          <w:rFonts w:ascii="Times New Roman" w:hAnsi="Times New Roman" w:cs="Times New Roman"/>
        </w:rPr>
        <w:t>Vercoulen</w:t>
      </w:r>
      <w:proofErr w:type="spellEnd"/>
      <w:r w:rsidRPr="009B0019">
        <w:rPr>
          <w:rFonts w:ascii="Times New Roman" w:hAnsi="Times New Roman" w:cs="Times New Roman"/>
        </w:rPr>
        <w:t>, P. </w:t>
      </w:r>
      <w:r w:rsidRPr="009B0019">
        <w:rPr>
          <w:rFonts w:ascii="Times New Roman" w:hAnsi="Times New Roman" w:cs="Times New Roman"/>
          <w:i/>
          <w:iCs/>
        </w:rPr>
        <w:t>et al.</w:t>
      </w:r>
      <w:r w:rsidRPr="009B0019">
        <w:rPr>
          <w:rFonts w:ascii="Times New Roman" w:hAnsi="Times New Roman" w:cs="Times New Roman"/>
        </w:rPr>
        <w:t> Reframing incentives for climate policy action. </w:t>
      </w:r>
      <w:r w:rsidRPr="00BB0B28">
        <w:rPr>
          <w:rFonts w:ascii="Times New Roman" w:hAnsi="Times New Roman" w:cs="Times New Roman"/>
        </w:rPr>
        <w:t>Nat Energy</w:t>
      </w:r>
      <w:r w:rsidR="00BB0B28" w:rsidRPr="00BB0B28">
        <w:rPr>
          <w:rFonts w:ascii="Times New Roman" w:hAnsi="Times New Roman" w:cs="Times New Roman" w:hint="eastAsia"/>
        </w:rPr>
        <w:t>,</w:t>
      </w:r>
      <w:r w:rsidRPr="00BB0B28">
        <w:rPr>
          <w:rFonts w:ascii="Times New Roman" w:hAnsi="Times New Roman" w:cs="Times New Roman"/>
        </w:rPr>
        <w:t> </w:t>
      </w:r>
      <w:r w:rsidRPr="001A051B">
        <w:rPr>
          <w:rFonts w:ascii="Times New Roman" w:hAnsi="Times New Roman" w:cs="Times New Roman"/>
        </w:rPr>
        <w:t xml:space="preserve">6, </w:t>
      </w:r>
      <w:r w:rsidRPr="009B0019">
        <w:rPr>
          <w:rFonts w:ascii="Times New Roman" w:hAnsi="Times New Roman" w:cs="Times New Roman"/>
        </w:rPr>
        <w:t>1133–1143 (2021).</w:t>
      </w:r>
      <w:bookmarkEnd w:id="11"/>
      <w:r w:rsidRPr="009B0019">
        <w:rPr>
          <w:rFonts w:ascii="Times New Roman" w:hAnsi="Times New Roman" w:cs="Times New Roman"/>
        </w:rPr>
        <w:t xml:space="preserve"> </w:t>
      </w:r>
    </w:p>
    <w:p w14:paraId="514CF1FA" w14:textId="668075A4" w:rsidR="00B95A0A" w:rsidRDefault="00B95A0A" w:rsidP="009B0019">
      <w:pPr>
        <w:pStyle w:val="a9"/>
        <w:numPr>
          <w:ilvl w:val="0"/>
          <w:numId w:val="2"/>
        </w:numPr>
        <w:jc w:val="both"/>
        <w:rPr>
          <w:rFonts w:ascii="Times New Roman" w:hAnsi="Times New Roman" w:cs="Times New Roman"/>
        </w:rPr>
      </w:pPr>
      <w:bookmarkStart w:id="12" w:name="_Ref196755871"/>
      <w:r w:rsidRPr="00B95A0A">
        <w:rPr>
          <w:rFonts w:ascii="Times New Roman" w:hAnsi="Times New Roman" w:cs="Times New Roman"/>
        </w:rPr>
        <w:t>Knobloch, F., Hanssen, S., Lam, A. </w:t>
      </w:r>
      <w:r w:rsidRPr="00B95A0A">
        <w:rPr>
          <w:rFonts w:ascii="Times New Roman" w:hAnsi="Times New Roman" w:cs="Times New Roman"/>
          <w:i/>
          <w:iCs/>
        </w:rPr>
        <w:t>et al.</w:t>
      </w:r>
      <w:r w:rsidRPr="00B95A0A">
        <w:rPr>
          <w:rFonts w:ascii="Times New Roman" w:hAnsi="Times New Roman" w:cs="Times New Roman"/>
        </w:rPr>
        <w:t> Net emission reductions from electric cars and heat pumps in 59 world regions over time. Nat Sustain</w:t>
      </w:r>
      <w:r w:rsidR="002D61E5">
        <w:rPr>
          <w:rFonts w:ascii="Times New Roman" w:hAnsi="Times New Roman" w:cs="Times New Roman" w:hint="eastAsia"/>
        </w:rPr>
        <w:t>.</w:t>
      </w:r>
      <w:r w:rsidR="00E824DF">
        <w:rPr>
          <w:rFonts w:ascii="Times New Roman" w:hAnsi="Times New Roman" w:cs="Times New Roman" w:hint="eastAsia"/>
        </w:rPr>
        <w:t>,</w:t>
      </w:r>
      <w:r w:rsidRPr="00B95A0A">
        <w:rPr>
          <w:rFonts w:ascii="Times New Roman" w:hAnsi="Times New Roman" w:cs="Times New Roman"/>
        </w:rPr>
        <w:t> 3, 437–447 (2020).</w:t>
      </w:r>
      <w:bookmarkEnd w:id="12"/>
    </w:p>
    <w:p w14:paraId="44B353E9" w14:textId="77777777" w:rsidR="00B95A0A" w:rsidRDefault="00B95A0A" w:rsidP="00B95A0A">
      <w:pPr>
        <w:pStyle w:val="a9"/>
        <w:numPr>
          <w:ilvl w:val="0"/>
          <w:numId w:val="2"/>
        </w:numPr>
        <w:rPr>
          <w:rFonts w:ascii="Times New Roman" w:eastAsia="宋体" w:hAnsi="Times New Roman"/>
          <w:szCs w:val="21"/>
        </w:rPr>
      </w:pPr>
      <w:bookmarkStart w:id="13" w:name="_Ref196755877"/>
      <w:r w:rsidRPr="00B95A0A">
        <w:rPr>
          <w:rFonts w:ascii="Times New Roman" w:eastAsia="宋体" w:hAnsi="Times New Roman"/>
          <w:szCs w:val="21"/>
        </w:rPr>
        <w:t>IEA. Energy Efficiency 2019. (IEA, 2019).</w:t>
      </w:r>
      <w:bookmarkEnd w:id="13"/>
    </w:p>
    <w:p w14:paraId="45A29CB6" w14:textId="77777777" w:rsidR="00D077E5" w:rsidRDefault="00D077E5" w:rsidP="00D077E5">
      <w:pPr>
        <w:numPr>
          <w:ilvl w:val="0"/>
          <w:numId w:val="2"/>
        </w:numPr>
        <w:spacing w:after="0" w:line="240" w:lineRule="auto"/>
        <w:jc w:val="both"/>
        <w:rPr>
          <w:rFonts w:ascii="Times New Roman" w:eastAsia="宋体" w:hAnsi="Times New Roman"/>
          <w:szCs w:val="21"/>
        </w:rPr>
      </w:pPr>
      <w:bookmarkStart w:id="14" w:name="_Ref193557871"/>
      <w:r w:rsidRPr="005B6555">
        <w:rPr>
          <w:rFonts w:ascii="Times New Roman" w:eastAsia="宋体" w:hAnsi="Times New Roman" w:hint="eastAsia"/>
          <w:szCs w:val="21"/>
        </w:rPr>
        <w:t>W</w:t>
      </w:r>
      <w:r w:rsidRPr="005B6555">
        <w:rPr>
          <w:rFonts w:ascii="Times New Roman" w:eastAsia="宋体" w:hAnsi="Times New Roman"/>
          <w:szCs w:val="21"/>
        </w:rPr>
        <w:t xml:space="preserve">ang, S., </w:t>
      </w:r>
      <w:proofErr w:type="spellStart"/>
      <w:r w:rsidRPr="005B6555">
        <w:rPr>
          <w:rFonts w:ascii="Times New Roman" w:eastAsia="宋体" w:hAnsi="Times New Roman"/>
          <w:szCs w:val="21"/>
        </w:rPr>
        <w:t>Hausfather</w:t>
      </w:r>
      <w:proofErr w:type="spellEnd"/>
      <w:r w:rsidRPr="005B6555">
        <w:rPr>
          <w:rFonts w:ascii="Times New Roman" w:eastAsia="宋体" w:hAnsi="Times New Roman"/>
          <w:szCs w:val="21"/>
        </w:rPr>
        <w:t xml:space="preserve"> Z., Davis, S. et al. Future demand for electricity generation materials under different climate mitigation scenarios. </w:t>
      </w:r>
      <w:r w:rsidRPr="005B6555">
        <w:rPr>
          <w:rFonts w:ascii="Times New Roman" w:eastAsia="宋体" w:hAnsi="Times New Roman"/>
          <w:i/>
          <w:iCs/>
          <w:szCs w:val="21"/>
        </w:rPr>
        <w:t>Joule</w:t>
      </w:r>
      <w:r w:rsidRPr="005B6555">
        <w:rPr>
          <w:rFonts w:ascii="Times New Roman" w:eastAsia="宋体" w:hAnsi="Times New Roman"/>
          <w:szCs w:val="21"/>
        </w:rPr>
        <w:t>, 7(2), 309-332 (2023).</w:t>
      </w:r>
      <w:bookmarkEnd w:id="14"/>
    </w:p>
    <w:p w14:paraId="62287879" w14:textId="77777777" w:rsidR="00D077E5" w:rsidRPr="00D077E5" w:rsidRDefault="00D077E5" w:rsidP="00D077E5">
      <w:pPr>
        <w:rPr>
          <w:rFonts w:ascii="Times New Roman" w:eastAsia="宋体" w:hAnsi="Times New Roman"/>
          <w:szCs w:val="21"/>
        </w:rPr>
      </w:pPr>
    </w:p>
    <w:p w14:paraId="4B924023" w14:textId="77777777" w:rsidR="00B95A0A" w:rsidRPr="00B95A0A" w:rsidRDefault="00B95A0A" w:rsidP="00B95A0A">
      <w:pPr>
        <w:jc w:val="both"/>
        <w:rPr>
          <w:rFonts w:ascii="Times New Roman" w:hAnsi="Times New Roman" w:cs="Times New Roman"/>
        </w:rPr>
      </w:pPr>
    </w:p>
    <w:sectPr w:rsidR="00B95A0A" w:rsidRPr="00B95A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947C8"/>
    <w:multiLevelType w:val="multilevel"/>
    <w:tmpl w:val="E9E2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B34946"/>
    <w:multiLevelType w:val="multilevel"/>
    <w:tmpl w:val="A0D8E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A276F63"/>
    <w:multiLevelType w:val="hybridMultilevel"/>
    <w:tmpl w:val="E61E8A3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46170324">
    <w:abstractNumId w:val="1"/>
  </w:num>
  <w:num w:numId="2" w16cid:durableId="299575950">
    <w:abstractNumId w:val="2"/>
  </w:num>
  <w:num w:numId="3" w16cid:durableId="101276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C1"/>
    <w:rsid w:val="00001C40"/>
    <w:rsid w:val="000115A9"/>
    <w:rsid w:val="000268E0"/>
    <w:rsid w:val="000425F2"/>
    <w:rsid w:val="000A3F6C"/>
    <w:rsid w:val="000A6867"/>
    <w:rsid w:val="001116D7"/>
    <w:rsid w:val="001261B6"/>
    <w:rsid w:val="00191C52"/>
    <w:rsid w:val="001A051B"/>
    <w:rsid w:val="002048A1"/>
    <w:rsid w:val="00250190"/>
    <w:rsid w:val="00251A7E"/>
    <w:rsid w:val="002547BD"/>
    <w:rsid w:val="00264058"/>
    <w:rsid w:val="002831D9"/>
    <w:rsid w:val="002A1404"/>
    <w:rsid w:val="002D61E5"/>
    <w:rsid w:val="002D7D36"/>
    <w:rsid w:val="00300B03"/>
    <w:rsid w:val="00305C65"/>
    <w:rsid w:val="00331353"/>
    <w:rsid w:val="00334728"/>
    <w:rsid w:val="003A35E9"/>
    <w:rsid w:val="003C72CA"/>
    <w:rsid w:val="00447283"/>
    <w:rsid w:val="004512CF"/>
    <w:rsid w:val="004A1C52"/>
    <w:rsid w:val="004C7702"/>
    <w:rsid w:val="004E7C41"/>
    <w:rsid w:val="004F53F7"/>
    <w:rsid w:val="00506FE8"/>
    <w:rsid w:val="005123C1"/>
    <w:rsid w:val="005165FE"/>
    <w:rsid w:val="00554C09"/>
    <w:rsid w:val="00563FF8"/>
    <w:rsid w:val="00576650"/>
    <w:rsid w:val="00591B19"/>
    <w:rsid w:val="005C7ACA"/>
    <w:rsid w:val="005F4D15"/>
    <w:rsid w:val="00633B84"/>
    <w:rsid w:val="006409E3"/>
    <w:rsid w:val="00640BB3"/>
    <w:rsid w:val="00653825"/>
    <w:rsid w:val="006914B3"/>
    <w:rsid w:val="006B1F33"/>
    <w:rsid w:val="006C27F3"/>
    <w:rsid w:val="006F40A3"/>
    <w:rsid w:val="006F50CA"/>
    <w:rsid w:val="006F58B1"/>
    <w:rsid w:val="00731399"/>
    <w:rsid w:val="00732C8E"/>
    <w:rsid w:val="007602B3"/>
    <w:rsid w:val="007676F7"/>
    <w:rsid w:val="00767CD7"/>
    <w:rsid w:val="007806BC"/>
    <w:rsid w:val="007B4A0B"/>
    <w:rsid w:val="007D4620"/>
    <w:rsid w:val="008046EC"/>
    <w:rsid w:val="008142AE"/>
    <w:rsid w:val="008347AA"/>
    <w:rsid w:val="00881DDB"/>
    <w:rsid w:val="00883FAE"/>
    <w:rsid w:val="00891A4A"/>
    <w:rsid w:val="00892B73"/>
    <w:rsid w:val="008A4EBD"/>
    <w:rsid w:val="008F13C5"/>
    <w:rsid w:val="00900F88"/>
    <w:rsid w:val="0093356A"/>
    <w:rsid w:val="009407E3"/>
    <w:rsid w:val="009559FE"/>
    <w:rsid w:val="00965B43"/>
    <w:rsid w:val="009B0019"/>
    <w:rsid w:val="009C0EC1"/>
    <w:rsid w:val="009C5A75"/>
    <w:rsid w:val="00A002DE"/>
    <w:rsid w:val="00A06065"/>
    <w:rsid w:val="00A76F90"/>
    <w:rsid w:val="00AB1038"/>
    <w:rsid w:val="00AB5D9B"/>
    <w:rsid w:val="00AC21EF"/>
    <w:rsid w:val="00B06875"/>
    <w:rsid w:val="00B13BBF"/>
    <w:rsid w:val="00B655A4"/>
    <w:rsid w:val="00B720CA"/>
    <w:rsid w:val="00B851EA"/>
    <w:rsid w:val="00B87967"/>
    <w:rsid w:val="00B94F36"/>
    <w:rsid w:val="00B95A0A"/>
    <w:rsid w:val="00BB0B28"/>
    <w:rsid w:val="00BC3434"/>
    <w:rsid w:val="00BE166C"/>
    <w:rsid w:val="00C41D7B"/>
    <w:rsid w:val="00C61AC7"/>
    <w:rsid w:val="00C65BDB"/>
    <w:rsid w:val="00C757CE"/>
    <w:rsid w:val="00CC3A01"/>
    <w:rsid w:val="00D077E5"/>
    <w:rsid w:val="00D1081A"/>
    <w:rsid w:val="00D21692"/>
    <w:rsid w:val="00D25448"/>
    <w:rsid w:val="00D31796"/>
    <w:rsid w:val="00D55D56"/>
    <w:rsid w:val="00D723A9"/>
    <w:rsid w:val="00D84495"/>
    <w:rsid w:val="00DA7BD5"/>
    <w:rsid w:val="00DE3C85"/>
    <w:rsid w:val="00DF08B3"/>
    <w:rsid w:val="00DF3801"/>
    <w:rsid w:val="00E4658A"/>
    <w:rsid w:val="00E666D7"/>
    <w:rsid w:val="00E824DF"/>
    <w:rsid w:val="00EF1230"/>
    <w:rsid w:val="00F2720E"/>
    <w:rsid w:val="00F553B4"/>
    <w:rsid w:val="00F55891"/>
    <w:rsid w:val="00F64D19"/>
    <w:rsid w:val="00F72FA9"/>
    <w:rsid w:val="00FB0BBF"/>
    <w:rsid w:val="00FD37CC"/>
    <w:rsid w:val="00FD3BF5"/>
    <w:rsid w:val="00FE65E6"/>
    <w:rsid w:val="00FF4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73971"/>
  <w15:chartTrackingRefBased/>
  <w15:docId w15:val="{798AA8AD-E07A-4C8C-8741-9F3723F1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3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3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3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3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3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3C1"/>
    <w:rPr>
      <w:rFonts w:cstheme="majorBidi"/>
      <w:color w:val="2F5496" w:themeColor="accent1" w:themeShade="BF"/>
      <w:sz w:val="28"/>
      <w:szCs w:val="28"/>
    </w:rPr>
  </w:style>
  <w:style w:type="character" w:customStyle="1" w:styleId="50">
    <w:name w:val="标题 5 字符"/>
    <w:basedOn w:val="a0"/>
    <w:link w:val="5"/>
    <w:uiPriority w:val="9"/>
    <w:semiHidden/>
    <w:rsid w:val="005123C1"/>
    <w:rPr>
      <w:rFonts w:cstheme="majorBidi"/>
      <w:color w:val="2F5496" w:themeColor="accent1" w:themeShade="BF"/>
      <w:sz w:val="24"/>
    </w:rPr>
  </w:style>
  <w:style w:type="character" w:customStyle="1" w:styleId="60">
    <w:name w:val="标题 6 字符"/>
    <w:basedOn w:val="a0"/>
    <w:link w:val="6"/>
    <w:uiPriority w:val="9"/>
    <w:semiHidden/>
    <w:rsid w:val="005123C1"/>
    <w:rPr>
      <w:rFonts w:cstheme="majorBidi"/>
      <w:b/>
      <w:bCs/>
      <w:color w:val="2F5496" w:themeColor="accent1" w:themeShade="BF"/>
    </w:rPr>
  </w:style>
  <w:style w:type="character" w:customStyle="1" w:styleId="70">
    <w:name w:val="标题 7 字符"/>
    <w:basedOn w:val="a0"/>
    <w:link w:val="7"/>
    <w:uiPriority w:val="9"/>
    <w:semiHidden/>
    <w:rsid w:val="005123C1"/>
    <w:rPr>
      <w:rFonts w:cstheme="majorBidi"/>
      <w:b/>
      <w:bCs/>
      <w:color w:val="595959" w:themeColor="text1" w:themeTint="A6"/>
    </w:rPr>
  </w:style>
  <w:style w:type="character" w:customStyle="1" w:styleId="80">
    <w:name w:val="标题 8 字符"/>
    <w:basedOn w:val="a0"/>
    <w:link w:val="8"/>
    <w:uiPriority w:val="9"/>
    <w:semiHidden/>
    <w:rsid w:val="005123C1"/>
    <w:rPr>
      <w:rFonts w:cstheme="majorBidi"/>
      <w:color w:val="595959" w:themeColor="text1" w:themeTint="A6"/>
    </w:rPr>
  </w:style>
  <w:style w:type="character" w:customStyle="1" w:styleId="90">
    <w:name w:val="标题 9 字符"/>
    <w:basedOn w:val="a0"/>
    <w:link w:val="9"/>
    <w:uiPriority w:val="9"/>
    <w:semiHidden/>
    <w:rsid w:val="005123C1"/>
    <w:rPr>
      <w:rFonts w:eastAsiaTheme="majorEastAsia" w:cstheme="majorBidi"/>
      <w:color w:val="595959" w:themeColor="text1" w:themeTint="A6"/>
    </w:rPr>
  </w:style>
  <w:style w:type="paragraph" w:styleId="a3">
    <w:name w:val="Title"/>
    <w:basedOn w:val="a"/>
    <w:next w:val="a"/>
    <w:link w:val="a4"/>
    <w:uiPriority w:val="10"/>
    <w:qFormat/>
    <w:rsid w:val="005123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3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3C1"/>
    <w:pPr>
      <w:spacing w:before="160"/>
      <w:jc w:val="center"/>
    </w:pPr>
    <w:rPr>
      <w:i/>
      <w:iCs/>
      <w:color w:val="404040" w:themeColor="text1" w:themeTint="BF"/>
    </w:rPr>
  </w:style>
  <w:style w:type="character" w:customStyle="1" w:styleId="a8">
    <w:name w:val="引用 字符"/>
    <w:basedOn w:val="a0"/>
    <w:link w:val="a7"/>
    <w:uiPriority w:val="29"/>
    <w:rsid w:val="005123C1"/>
    <w:rPr>
      <w:i/>
      <w:iCs/>
      <w:color w:val="404040" w:themeColor="text1" w:themeTint="BF"/>
    </w:rPr>
  </w:style>
  <w:style w:type="paragraph" w:styleId="a9">
    <w:name w:val="List Paragraph"/>
    <w:basedOn w:val="a"/>
    <w:uiPriority w:val="34"/>
    <w:qFormat/>
    <w:rsid w:val="005123C1"/>
    <w:pPr>
      <w:ind w:left="720"/>
      <w:contextualSpacing/>
    </w:pPr>
  </w:style>
  <w:style w:type="character" w:styleId="aa">
    <w:name w:val="Intense Emphasis"/>
    <w:basedOn w:val="a0"/>
    <w:uiPriority w:val="21"/>
    <w:qFormat/>
    <w:rsid w:val="005123C1"/>
    <w:rPr>
      <w:i/>
      <w:iCs/>
      <w:color w:val="2F5496" w:themeColor="accent1" w:themeShade="BF"/>
    </w:rPr>
  </w:style>
  <w:style w:type="paragraph" w:styleId="ab">
    <w:name w:val="Intense Quote"/>
    <w:basedOn w:val="a"/>
    <w:next w:val="a"/>
    <w:link w:val="ac"/>
    <w:uiPriority w:val="30"/>
    <w:qFormat/>
    <w:rsid w:val="00512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3C1"/>
    <w:rPr>
      <w:i/>
      <w:iCs/>
      <w:color w:val="2F5496" w:themeColor="accent1" w:themeShade="BF"/>
    </w:rPr>
  </w:style>
  <w:style w:type="character" w:styleId="ad">
    <w:name w:val="Intense Reference"/>
    <w:basedOn w:val="a0"/>
    <w:uiPriority w:val="32"/>
    <w:qFormat/>
    <w:rsid w:val="005123C1"/>
    <w:rPr>
      <w:b/>
      <w:bCs/>
      <w:smallCaps/>
      <w:color w:val="2F5496" w:themeColor="accent1" w:themeShade="BF"/>
      <w:spacing w:val="5"/>
    </w:rPr>
  </w:style>
  <w:style w:type="character" w:styleId="ae">
    <w:name w:val="Hyperlink"/>
    <w:basedOn w:val="a0"/>
    <w:uiPriority w:val="99"/>
    <w:unhideWhenUsed/>
    <w:rsid w:val="006C27F3"/>
    <w:rPr>
      <w:color w:val="0563C1" w:themeColor="hyperlink"/>
      <w:u w:val="single"/>
    </w:rPr>
  </w:style>
  <w:style w:type="character" w:styleId="af">
    <w:name w:val="Unresolved Mention"/>
    <w:basedOn w:val="a0"/>
    <w:uiPriority w:val="99"/>
    <w:semiHidden/>
    <w:unhideWhenUsed/>
    <w:rsid w:val="006C27F3"/>
    <w:rPr>
      <w:color w:val="605E5C"/>
      <w:shd w:val="clear" w:color="auto" w:fill="E1DFDD"/>
    </w:rPr>
  </w:style>
  <w:style w:type="character" w:styleId="af0">
    <w:name w:val="annotation reference"/>
    <w:basedOn w:val="a0"/>
    <w:uiPriority w:val="99"/>
    <w:semiHidden/>
    <w:unhideWhenUsed/>
    <w:rsid w:val="00251A7E"/>
    <w:rPr>
      <w:sz w:val="21"/>
      <w:szCs w:val="21"/>
    </w:rPr>
  </w:style>
  <w:style w:type="paragraph" w:styleId="af1">
    <w:name w:val="annotation text"/>
    <w:basedOn w:val="a"/>
    <w:link w:val="af2"/>
    <w:uiPriority w:val="99"/>
    <w:unhideWhenUsed/>
    <w:rsid w:val="00251A7E"/>
    <w:pPr>
      <w:spacing w:after="0" w:line="240" w:lineRule="auto"/>
    </w:pPr>
    <w:rPr>
      <w:sz w:val="21"/>
      <w:szCs w:val="22"/>
      <w14:ligatures w14:val="none"/>
    </w:rPr>
  </w:style>
  <w:style w:type="character" w:customStyle="1" w:styleId="af2">
    <w:name w:val="批注文字 字符"/>
    <w:basedOn w:val="a0"/>
    <w:link w:val="af1"/>
    <w:uiPriority w:val="99"/>
    <w:rsid w:val="00251A7E"/>
    <w:rPr>
      <w:sz w:val="21"/>
      <w:szCs w:val="22"/>
      <w14:ligatures w14:val="none"/>
    </w:rPr>
  </w:style>
  <w:style w:type="character" w:styleId="af3">
    <w:name w:val="Strong"/>
    <w:basedOn w:val="a0"/>
    <w:uiPriority w:val="22"/>
    <w:qFormat/>
    <w:rsid w:val="001116D7"/>
    <w:rPr>
      <w:b/>
      <w:bCs/>
    </w:rPr>
  </w:style>
  <w:style w:type="character" w:styleId="af4">
    <w:name w:val="FollowedHyperlink"/>
    <w:basedOn w:val="a0"/>
    <w:uiPriority w:val="99"/>
    <w:semiHidden/>
    <w:unhideWhenUsed/>
    <w:rsid w:val="009B00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0464">
      <w:bodyDiv w:val="1"/>
      <w:marLeft w:val="0"/>
      <w:marRight w:val="0"/>
      <w:marTop w:val="0"/>
      <w:marBottom w:val="0"/>
      <w:divBdr>
        <w:top w:val="none" w:sz="0" w:space="0" w:color="auto"/>
        <w:left w:val="none" w:sz="0" w:space="0" w:color="auto"/>
        <w:bottom w:val="none" w:sz="0" w:space="0" w:color="auto"/>
        <w:right w:val="none" w:sz="0" w:space="0" w:color="auto"/>
      </w:divBdr>
    </w:div>
    <w:div w:id="843009088">
      <w:bodyDiv w:val="1"/>
      <w:marLeft w:val="0"/>
      <w:marRight w:val="0"/>
      <w:marTop w:val="0"/>
      <w:marBottom w:val="0"/>
      <w:divBdr>
        <w:top w:val="none" w:sz="0" w:space="0" w:color="auto"/>
        <w:left w:val="none" w:sz="0" w:space="0" w:color="auto"/>
        <w:bottom w:val="none" w:sz="0" w:space="0" w:color="auto"/>
        <w:right w:val="none" w:sz="0" w:space="0" w:color="auto"/>
      </w:divBdr>
    </w:div>
    <w:div w:id="1126242941">
      <w:bodyDiv w:val="1"/>
      <w:marLeft w:val="0"/>
      <w:marRight w:val="0"/>
      <w:marTop w:val="0"/>
      <w:marBottom w:val="0"/>
      <w:divBdr>
        <w:top w:val="none" w:sz="0" w:space="0" w:color="auto"/>
        <w:left w:val="none" w:sz="0" w:space="0" w:color="auto"/>
        <w:bottom w:val="none" w:sz="0" w:space="0" w:color="auto"/>
        <w:right w:val="none" w:sz="0" w:space="0" w:color="auto"/>
      </w:divBdr>
    </w:div>
    <w:div w:id="1150633513">
      <w:bodyDiv w:val="1"/>
      <w:marLeft w:val="0"/>
      <w:marRight w:val="0"/>
      <w:marTop w:val="0"/>
      <w:marBottom w:val="0"/>
      <w:divBdr>
        <w:top w:val="none" w:sz="0" w:space="0" w:color="auto"/>
        <w:left w:val="none" w:sz="0" w:space="0" w:color="auto"/>
        <w:bottom w:val="none" w:sz="0" w:space="0" w:color="auto"/>
        <w:right w:val="none" w:sz="0" w:space="0" w:color="auto"/>
      </w:divBdr>
    </w:div>
    <w:div w:id="1208759685">
      <w:bodyDiv w:val="1"/>
      <w:marLeft w:val="0"/>
      <w:marRight w:val="0"/>
      <w:marTop w:val="0"/>
      <w:marBottom w:val="0"/>
      <w:divBdr>
        <w:top w:val="none" w:sz="0" w:space="0" w:color="auto"/>
        <w:left w:val="none" w:sz="0" w:space="0" w:color="auto"/>
        <w:bottom w:val="none" w:sz="0" w:space="0" w:color="auto"/>
        <w:right w:val="none" w:sz="0" w:space="0" w:color="auto"/>
      </w:divBdr>
    </w:div>
    <w:div w:id="1453204427">
      <w:bodyDiv w:val="1"/>
      <w:marLeft w:val="0"/>
      <w:marRight w:val="0"/>
      <w:marTop w:val="0"/>
      <w:marBottom w:val="0"/>
      <w:divBdr>
        <w:top w:val="none" w:sz="0" w:space="0" w:color="auto"/>
        <w:left w:val="none" w:sz="0" w:space="0" w:color="auto"/>
        <w:bottom w:val="none" w:sz="0" w:space="0" w:color="auto"/>
        <w:right w:val="none" w:sz="0" w:space="0" w:color="auto"/>
      </w:divBdr>
    </w:div>
    <w:div w:id="1763257919">
      <w:bodyDiv w:val="1"/>
      <w:marLeft w:val="0"/>
      <w:marRight w:val="0"/>
      <w:marTop w:val="0"/>
      <w:marBottom w:val="0"/>
      <w:divBdr>
        <w:top w:val="none" w:sz="0" w:space="0" w:color="auto"/>
        <w:left w:val="none" w:sz="0" w:space="0" w:color="auto"/>
        <w:bottom w:val="none" w:sz="0" w:space="0" w:color="auto"/>
        <w:right w:val="none" w:sz="0" w:space="0" w:color="auto"/>
      </w:divBdr>
    </w:div>
    <w:div w:id="20918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21.png"/><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9.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hyperlink" Target="https://www.e3me.com/wp-content/uploads/sites/3/2022/12/E3MEManual2022-1.pdf" TargetMode="External"/><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png"/><Relationship Id="rId20" Type="http://schemas.openxmlformats.org/officeDocument/2006/relationships/image" Target="media/image8.wmf"/><Relationship Id="rId4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9FB8-D2E5-4208-B6B0-1703EE7C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3742</TotalTime>
  <Pages>8</Pages>
  <Words>1876</Words>
  <Characters>11186</Characters>
  <Application>Microsoft Office Word</Application>
  <DocSecurity>0</DocSecurity>
  <Lines>254</Lines>
  <Paragraphs>98</Paragraphs>
  <ScaleCrop>false</ScaleCrop>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灿 王</dc:creator>
  <cp:keywords/>
  <dc:description/>
  <cp:lastModifiedBy>灿 王</cp:lastModifiedBy>
  <cp:revision>117</cp:revision>
  <dcterms:created xsi:type="dcterms:W3CDTF">2025-03-22T08:54:00Z</dcterms:created>
  <dcterms:modified xsi:type="dcterms:W3CDTF">2025-06-07T13:36:00Z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