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714E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eastAsia="宋体" w:cs="Cordia New"/>
          <w:kern w:val="0"/>
          <w:sz w:val="24"/>
          <w:szCs w:val="24"/>
        </w:rPr>
      </w:pPr>
      <w:r>
        <w:rPr>
          <w:rFonts w:ascii="Times New Roman" w:hAnsi="Times New Roman" w:eastAsia="宋体" w:cs="Cordia New"/>
          <w:b/>
          <w:bCs/>
          <w:kern w:val="0"/>
          <w:sz w:val="24"/>
          <w:szCs w:val="24"/>
        </w:rPr>
        <w:t>Knockdown of low-density lipoprotein receptors in skeletal muscle attenuates aging-related sarcopenia associated with mitochondrial fusion and ferroptosis</w:t>
      </w:r>
    </w:p>
    <w:p w14:paraId="75589EE0">
      <w:pPr>
        <w:spacing w:line="480" w:lineRule="auto"/>
      </w:pPr>
    </w:p>
    <w:p w14:paraId="63D3FED8">
      <w:pPr>
        <w:spacing w:line="480" w:lineRule="auto"/>
      </w:pPr>
    </w:p>
    <w:p w14:paraId="56E48DE4">
      <w:pPr>
        <w:pStyle w:val="4"/>
        <w:spacing w:line="480" w:lineRule="auto"/>
        <w:rPr>
          <w:rFonts w:ascii="Times New Roman" w:hAnsi="Times New Roman" w:cs="Cordia New"/>
          <w:b/>
          <w:bCs/>
          <w:lang w:bidi="ar-SA"/>
        </w:rPr>
      </w:pPr>
      <w:bookmarkStart w:id="0" w:name="OLE_LINK8"/>
      <w:bookmarkStart w:id="1" w:name="OLE_LINK7"/>
      <w:r>
        <w:rPr>
          <w:rFonts w:ascii="Times New Roman" w:hAnsi="Times New Roman" w:cs="Cordia New"/>
          <w:b/>
          <w:bCs/>
          <w:lang w:bidi="ar-SA"/>
        </w:rPr>
        <w:t xml:space="preserve">SUPPLEMENTARY INFORMATION </w:t>
      </w:r>
    </w:p>
    <w:p w14:paraId="19245379">
      <w:pPr>
        <w:pStyle w:val="4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includes: </w:t>
      </w:r>
    </w:p>
    <w:p w14:paraId="21A31529">
      <w:pPr>
        <w:pStyle w:val="4"/>
        <w:spacing w:line="48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Figure</w:t>
      </w:r>
      <w:r>
        <w:rPr>
          <w:rFonts w:ascii="Times New Roman" w:hAnsi="Times New Roman" w:cs="Times New Roman"/>
        </w:rPr>
        <w:t>s S1-S</w:t>
      </w:r>
      <w:r>
        <w:rPr>
          <w:rFonts w:hint="eastAsia" w:ascii="Times New Roman" w:hAnsi="Times New Roman" w:cs="Times New Roman"/>
        </w:rPr>
        <w:t>5,Table1</w:t>
      </w:r>
    </w:p>
    <w:bookmarkEnd w:id="0"/>
    <w:bookmarkEnd w:id="1"/>
    <w:p w14:paraId="086F9552">
      <w:pPr>
        <w:spacing w:line="480" w:lineRule="auto"/>
      </w:pPr>
    </w:p>
    <w:p w14:paraId="3BC032F2">
      <w:pPr>
        <w:widowControl/>
        <w:spacing w:line="480" w:lineRule="auto"/>
        <w:jc w:val="left"/>
      </w:pPr>
      <w:r>
        <w:br w:type="page"/>
      </w:r>
    </w:p>
    <w:p w14:paraId="576F44AE">
      <w:pPr>
        <w:spacing w:line="48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351155</wp:posOffset>
            </wp:positionV>
            <wp:extent cx="5274310" cy="2965450"/>
            <wp:effectExtent l="0" t="0" r="0" b="6350"/>
            <wp:wrapTopAndBottom/>
            <wp:docPr id="17170853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85324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>s 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1</w:t>
      </w:r>
    </w:p>
    <w:p w14:paraId="62AAAE16">
      <w:pPr>
        <w:spacing w:line="480" w:lineRule="auto"/>
        <w:rPr>
          <w:sz w:val="24"/>
          <w:szCs w:val="24"/>
        </w:rPr>
      </w:pPr>
    </w:p>
    <w:p w14:paraId="44C48AB3">
      <w:pPr>
        <w:spacing w:line="480" w:lineRule="auto"/>
        <w:rPr>
          <w:rFonts w:ascii="Times New Roman" w:hAnsi="Times New Roman" w:eastAsia="宋体" w:cs="Times New Roman"/>
          <w:sz w:val="24"/>
          <w:szCs w:val="24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bidi="ar"/>
        </w:rPr>
        <w:t>A.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LDLR knock-down vector LDLR gRNA sequence insertion site sequencing results.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bidi="ar"/>
        </w:rPr>
        <w:t xml:space="preserve">B. 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>Sequencing results of pAAV-tMCK-Cas9 vector containing MCK promoter.</w:t>
      </w:r>
    </w:p>
    <w:p w14:paraId="2442920F">
      <w:pPr>
        <w:spacing w:line="480" w:lineRule="auto"/>
        <w:rPr>
          <w:sz w:val="24"/>
          <w:szCs w:val="24"/>
        </w:rPr>
      </w:pPr>
    </w:p>
    <w:p w14:paraId="28EA0C2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>s S2</w:t>
      </w:r>
    </w:p>
    <w:p w14:paraId="35E06784">
      <w:pPr>
        <w:spacing w:line="480" w:lineRule="auto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5266690" cy="2962910"/>
            <wp:effectExtent l="0" t="0" r="6350" b="8890"/>
            <wp:docPr id="1" name="图片 1" descr="Figur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75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A</w:t>
      </w:r>
      <w:r>
        <w:rPr>
          <w:rFonts w:hint="eastAsia"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Representative bands of LDLR and GAPDH from heart tissue extracts and quantification of protein expression.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hint="eastAsia"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Representative bands of LDLR and GAPDH from liver tissue extracts and quantification of protein expression.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C</w:t>
      </w:r>
      <w:r>
        <w:rPr>
          <w:rFonts w:hint="eastAsia"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Representative bands of LDLR and GAPDH from </w:t>
      </w:r>
      <w:r>
        <w:rPr>
          <w:rFonts w:ascii="Times New Roman" w:hAnsi="Times New Roman" w:cs="Times New Roman"/>
          <w:sz w:val="24"/>
          <w:szCs w:val="24"/>
          <w:lang w:val="en-GB"/>
        </w:rPr>
        <w:t>intestine</w:t>
      </w:r>
      <w:r>
        <w:rPr>
          <w:rFonts w:ascii="Times New Roman" w:hAnsi="Times New Roman" w:cs="Times New Roman"/>
          <w:sz w:val="24"/>
          <w:szCs w:val="24"/>
        </w:rPr>
        <w:t xml:space="preserve"> tissue extracts and quantification of protein expression. </w:t>
      </w:r>
      <w:r>
        <w:rPr>
          <w:rFonts w:ascii="Times New Roman" w:hAnsi="Times New Roman" w:cs="Times New Roman"/>
          <w:sz w:val="24"/>
          <w:szCs w:val="24"/>
          <w:lang w:val="en-GB"/>
        </w:rPr>
        <w:t>Data are shown as mean ± SEM. Two-tailed unpaired Student’s t-test.</w:t>
      </w:r>
    </w:p>
    <w:p w14:paraId="2132ED65">
      <w:pPr>
        <w:spacing w:line="480" w:lineRule="auto"/>
        <w:rPr>
          <w:rFonts w:hint="eastAsia" w:ascii="Times New Roman" w:hAnsi="Times New Roman" w:cs="Times New Roman"/>
          <w:sz w:val="24"/>
          <w:szCs w:val="24"/>
        </w:rPr>
      </w:pPr>
    </w:p>
    <w:p w14:paraId="39C9EF2B">
      <w:pPr>
        <w:spacing w:line="480" w:lineRule="auto"/>
        <w:ind w:left="489" w:hanging="482" w:hanging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>sS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3</w:t>
      </w:r>
    </w:p>
    <w:p w14:paraId="585DC46E">
      <w:pPr>
        <w:spacing w:line="480" w:lineRule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66690" cy="2962910"/>
            <wp:effectExtent l="0" t="0" r="6350" b="8890"/>
            <wp:docPr id="2" name="图片 2" descr="Figur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49727">
      <w:pPr>
        <w:spacing w:line="480" w:lineRule="auto"/>
        <w:rPr>
          <w:rFonts w:ascii="Times New Roman" w:hAnsi="Times New Roman"/>
          <w:sz w:val="24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bidi="ar"/>
        </w:rPr>
        <w:t>A-E.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>Quantitative real-time PCR analysis of MyHC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>Ⅱ mRNA levels, MyHC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>Ⅱ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>a mRNA levels , MyHC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>Ⅱ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>b mRNA levels,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>MyHC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>Ⅰ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 xml:space="preserve">mRNA 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and PGC-1αmRNA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 xml:space="preserve">levels in the quadriceps of adult (5 mon) and old (21mon) mice; Data are shown as mean ± SEM. Two-tailed unpaired Student’s t-test. Statistical significance: * </w:t>
      </w:r>
      <w:r>
        <w:rPr>
          <w:rFonts w:ascii="Times New Roman" w:hAnsi="Times New Roman" w:eastAsia="宋体" w:cs="Times New Roman"/>
          <w:i/>
          <w:iCs/>
          <w:sz w:val="24"/>
          <w:szCs w:val="24"/>
          <w:lang w:bidi="ar"/>
        </w:rPr>
        <w:t xml:space="preserve">p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 xml:space="preserve">&lt; 0.05, ** </w:t>
      </w:r>
      <w:r>
        <w:rPr>
          <w:rFonts w:ascii="Times New Roman" w:hAnsi="Times New Roman" w:eastAsia="宋体" w:cs="Times New Roman"/>
          <w:i/>
          <w:iCs/>
          <w:sz w:val="24"/>
          <w:szCs w:val="24"/>
          <w:lang w:bidi="ar"/>
        </w:rPr>
        <w:t xml:space="preserve">p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 xml:space="preserve">&lt; 0.01. </w:t>
      </w:r>
      <w:r>
        <w:rPr>
          <w:rFonts w:hint="eastAsia" w:ascii="Times New Roman" w:hAnsi="Times New Roman" w:eastAsia="宋体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  <w:lang w:bidi="ar"/>
        </w:rPr>
        <w:t>Abbreviation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 xml:space="preserve">: </w:t>
      </w:r>
      <w:r>
        <w:rPr>
          <w:rFonts w:ascii="Times New Roman" w:hAnsi="Times New Roman"/>
          <w:sz w:val="24"/>
          <w:lang w:bidi="ar"/>
        </w:rPr>
        <w:t>A-LDLR</w:t>
      </w:r>
      <w:r>
        <w:rPr>
          <w:rFonts w:ascii="Times New Roman" w:hAnsi="Times New Roman"/>
          <w:sz w:val="24"/>
          <w:vertAlign w:val="superscript"/>
          <w:lang w:bidi="ar"/>
        </w:rPr>
        <w:t>vector</w:t>
      </w:r>
      <w:r>
        <w:rPr>
          <w:rFonts w:ascii="Times New Roman" w:hAnsi="Times New Roman"/>
          <w:sz w:val="24"/>
          <w:lang w:bidi="ar"/>
        </w:rPr>
        <w:t>: Adult mice injected with empty vector as control; A-LDLR</w:t>
      </w:r>
      <w:r>
        <w:rPr>
          <w:rFonts w:ascii="Times New Roman" w:hAnsi="Times New Roman"/>
          <w:sz w:val="24"/>
          <w:vertAlign w:val="superscript"/>
          <w:lang w:bidi="ar"/>
        </w:rPr>
        <w:t>KD</w:t>
      </w:r>
      <w:r>
        <w:rPr>
          <w:rFonts w:ascii="Times New Roman" w:hAnsi="Times New Roman"/>
          <w:sz w:val="24"/>
          <w:lang w:bidi="ar"/>
        </w:rPr>
        <w:t>: Adult mice injected with AAV vectors to knockdown LDLR in skeletal muscle; O-LDLR</w:t>
      </w:r>
      <w:r>
        <w:rPr>
          <w:rFonts w:ascii="Times New Roman" w:hAnsi="Times New Roman"/>
          <w:sz w:val="24"/>
          <w:vertAlign w:val="superscript"/>
          <w:lang w:bidi="ar"/>
        </w:rPr>
        <w:t>vector</w:t>
      </w:r>
      <w:r>
        <w:rPr>
          <w:rFonts w:ascii="Times New Roman" w:hAnsi="Times New Roman"/>
          <w:sz w:val="24"/>
          <w:lang w:bidi="ar"/>
        </w:rPr>
        <w:t>: Old mice injected with empty vector as control; O-LDLR</w:t>
      </w:r>
      <w:r>
        <w:rPr>
          <w:rFonts w:ascii="Times New Roman" w:hAnsi="Times New Roman"/>
          <w:sz w:val="24"/>
          <w:vertAlign w:val="superscript"/>
          <w:lang w:bidi="ar"/>
        </w:rPr>
        <w:t>KD</w:t>
      </w:r>
      <w:r>
        <w:rPr>
          <w:rFonts w:ascii="Times New Roman" w:hAnsi="Times New Roman"/>
          <w:sz w:val="24"/>
          <w:lang w:bidi="ar"/>
        </w:rPr>
        <w:t>: Old mice injected with AAV vectors to knockdown LDLR in skeletal muscle.</w:t>
      </w:r>
    </w:p>
    <w:p w14:paraId="31592770">
      <w:pPr>
        <w:spacing w:line="480" w:lineRule="auto"/>
        <w:rPr>
          <w:rFonts w:hint="eastAsia" w:ascii="Times New Roman" w:hAnsi="Times New Roman"/>
          <w:color w:val="FF0000"/>
          <w:sz w:val="24"/>
          <w:lang w:bidi="ar"/>
        </w:rPr>
      </w:pPr>
    </w:p>
    <w:p w14:paraId="5E697F7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4</w:t>
      </w:r>
    </w:p>
    <w:p w14:paraId="104ADDCE">
      <w:pPr>
        <w:spacing w:line="480" w:lineRule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66690" cy="2962910"/>
            <wp:effectExtent l="0" t="0" r="6350" b="8890"/>
            <wp:docPr id="6" name="图片 6" descr="Figur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814AA">
      <w:pPr>
        <w:spacing w:line="480" w:lineRule="auto"/>
        <w:rPr>
          <w:rFonts w:hint="eastAsia" w:ascii="Times New Roman" w:hAnsi="Times New Roman"/>
          <w:sz w:val="24"/>
          <w:lang w:bidi="a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A-D.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Quantitative real-time PCR analysis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of Drp1</w:t>
      </w:r>
      <w:r>
        <w:rPr>
          <w:rFonts w:hint="eastAsia"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Fis</w:t>
      </w:r>
      <w:r>
        <w:rPr>
          <w:rFonts w:hint="eastAsia" w:ascii="Times New Roman" w:hAnsi="Times New Roman" w:cs="Times New Roman"/>
          <w:sz w:val="24"/>
          <w:szCs w:val="24"/>
          <w:lang w:val="en-GB"/>
        </w:rPr>
        <w:t>1,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</w:t>
      </w:r>
      <w:r>
        <w:rPr>
          <w:rFonts w:hint="eastAsia" w:ascii="Times New Roman" w:hAnsi="Times New Roman" w:cs="Times New Roman"/>
          <w:sz w:val="24"/>
          <w:szCs w:val="24"/>
          <w:lang w:val="en-GB"/>
        </w:rPr>
        <w:t>fn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  <w:lang w:val="en-GB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>
        <w:rPr>
          <w:rFonts w:hint="eastAsia" w:ascii="Times New Roman" w:hAnsi="Times New Roman" w:cs="Times New Roman"/>
          <w:sz w:val="24"/>
          <w:szCs w:val="24"/>
          <w:lang w:val="en-GB"/>
        </w:rPr>
        <w:t>pa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 mRNA level. Data are shown as mean ± SEM. Two-tailed unpaired Student’s t-test. Statistical significance: *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&lt; 0.05, **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 </w:t>
      </w:r>
      <w:r>
        <w:rPr>
          <w:rFonts w:ascii="Times New Roman" w:hAnsi="Times New Roman" w:cs="Times New Roman"/>
          <w:sz w:val="24"/>
          <w:szCs w:val="24"/>
          <w:lang w:val="en-GB"/>
        </w:rPr>
        <w:t>&lt; 0.01.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Abbreviation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>
        <w:rPr>
          <w:rFonts w:hint="eastAsia" w:ascii="Times New Roman" w:hAnsi="Times New Roman" w:cs="Times New Roman"/>
          <w:sz w:val="24"/>
          <w:szCs w:val="24"/>
          <w:lang w:val="en-GB"/>
        </w:rPr>
        <w:t>pa</w:t>
      </w: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Optic Atrophy 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MFN2: Mitofusin-2;  Mfn1: Mitofusin-1; Drp1: Dynamin-related protein1; Fis1: Mitochondrial fission 1 protein; </w:t>
      </w:r>
      <w:r>
        <w:rPr>
          <w:rFonts w:ascii="Times New Roman" w:hAnsi="Times New Roman"/>
          <w:sz w:val="24"/>
          <w:lang w:bidi="ar"/>
        </w:rPr>
        <w:t>A-LDLR</w:t>
      </w:r>
      <w:r>
        <w:rPr>
          <w:rFonts w:ascii="Times New Roman" w:hAnsi="Times New Roman"/>
          <w:sz w:val="24"/>
          <w:vertAlign w:val="superscript"/>
          <w:lang w:bidi="ar"/>
        </w:rPr>
        <w:t>vector</w:t>
      </w:r>
      <w:r>
        <w:rPr>
          <w:rFonts w:ascii="Times New Roman" w:hAnsi="Times New Roman"/>
          <w:sz w:val="24"/>
          <w:lang w:bidi="ar"/>
        </w:rPr>
        <w:t>: Adult mice injected with empty vector as control; A-LDLR</w:t>
      </w:r>
      <w:r>
        <w:rPr>
          <w:rFonts w:ascii="Times New Roman" w:hAnsi="Times New Roman"/>
          <w:sz w:val="24"/>
          <w:vertAlign w:val="superscript"/>
          <w:lang w:bidi="ar"/>
        </w:rPr>
        <w:t>KD</w:t>
      </w:r>
      <w:r>
        <w:rPr>
          <w:rFonts w:ascii="Times New Roman" w:hAnsi="Times New Roman"/>
          <w:sz w:val="24"/>
          <w:lang w:bidi="ar"/>
        </w:rPr>
        <w:t>: Adult mice injected with AAV vectors to knockdown LDLR in skeletal muscle; O-LDLR</w:t>
      </w:r>
      <w:r>
        <w:rPr>
          <w:rFonts w:ascii="Times New Roman" w:hAnsi="Times New Roman"/>
          <w:sz w:val="24"/>
          <w:vertAlign w:val="superscript"/>
          <w:lang w:bidi="ar"/>
        </w:rPr>
        <w:t>vector</w:t>
      </w:r>
      <w:r>
        <w:rPr>
          <w:rFonts w:ascii="Times New Roman" w:hAnsi="Times New Roman"/>
          <w:sz w:val="24"/>
          <w:lang w:bidi="ar"/>
        </w:rPr>
        <w:t>: Old mice injected with empty vector as control; O-LDLR</w:t>
      </w:r>
      <w:r>
        <w:rPr>
          <w:rFonts w:ascii="Times New Roman" w:hAnsi="Times New Roman"/>
          <w:sz w:val="24"/>
          <w:vertAlign w:val="superscript"/>
          <w:lang w:bidi="ar"/>
        </w:rPr>
        <w:t>KD</w:t>
      </w:r>
      <w:r>
        <w:rPr>
          <w:rFonts w:ascii="Times New Roman" w:hAnsi="Times New Roman"/>
          <w:sz w:val="24"/>
          <w:lang w:bidi="ar"/>
        </w:rPr>
        <w:t>: Old mice injected with AAV vectors to knockdown LDLR in skeletal muscle.</w:t>
      </w:r>
    </w:p>
    <w:p w14:paraId="1EBCDC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2B55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506920">
      <w:pPr>
        <w:spacing w:line="480" w:lineRule="auto"/>
        <w:rPr>
          <w:rFonts w:hint="eastAsia" w:ascii="Times New Roman" w:hAnsi="Times New Roman" w:cs="Times New Roman"/>
          <w:sz w:val="24"/>
          <w:szCs w:val="24"/>
        </w:rPr>
      </w:pPr>
    </w:p>
    <w:p w14:paraId="1115548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5</w:t>
      </w:r>
    </w:p>
    <w:p w14:paraId="05EE8A66">
      <w:pPr>
        <w:spacing w:line="480" w:lineRule="auto"/>
        <w:ind w:firstLine="240" w:firstLineChars="100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bookmarkStart w:id="2" w:name="_GoBack"/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66690" cy="2962910"/>
            <wp:effectExtent l="0" t="0" r="6350" b="8890"/>
            <wp:docPr id="7" name="图片 7" descr="Figur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ure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0277500C">
      <w:pPr>
        <w:spacing w:line="48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A-F. </w:t>
      </w:r>
      <w:r>
        <w:rPr>
          <w:rFonts w:hint="eastAsia" w:ascii="Times New Roman" w:hAnsi="Times New Roman" w:cs="Times New Roman"/>
          <w:sz w:val="24"/>
          <w:szCs w:val="24"/>
        </w:rPr>
        <w:t xml:space="preserve">Representative bands of ACSL4, SLC7A11, GPX4, and a-actin from muscle tissue extracts and quantification of protein expression.  Data are shown as mean ± SEM. Two-tailed unpaired Student’s t-test. Statistical significance: *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p </w:t>
      </w:r>
      <w:r>
        <w:rPr>
          <w:rFonts w:hint="eastAsia" w:ascii="Times New Roman" w:hAnsi="Times New Roman" w:cs="Times New Roman"/>
          <w:sz w:val="24"/>
          <w:szCs w:val="24"/>
        </w:rPr>
        <w:t xml:space="preserve">&lt; 0.05, **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p </w:t>
      </w:r>
      <w:r>
        <w:rPr>
          <w:rFonts w:hint="eastAsia" w:ascii="Times New Roman" w:hAnsi="Times New Roman" w:cs="Times New Roman"/>
          <w:sz w:val="24"/>
          <w:szCs w:val="24"/>
        </w:rPr>
        <w:t xml:space="preserve">&lt; 0.01. 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Abbreviation</w:t>
      </w:r>
      <w:r>
        <w:rPr>
          <w:rFonts w:hint="eastAsia" w:ascii="Times New Roman" w:hAnsi="Times New Roman" w:cs="Times New Roman"/>
          <w:sz w:val="24"/>
          <w:szCs w:val="24"/>
        </w:rPr>
        <w:t>: ACSL4: Acyl-CoA Synthetase Long-Chain Family Member 4; SLC7A11: Solute Carrier Family 7 Member 11; GPX4 : Glutathione peroxidase 4.</w:t>
      </w:r>
    </w:p>
    <w:p w14:paraId="68355371">
      <w:pPr>
        <w:spacing w:line="480" w:lineRule="auto"/>
        <w:ind w:firstLine="241" w:firstLineChars="100"/>
        <w:rPr>
          <w:rFonts w:ascii="Times New Roman" w:hAnsi="Times New Roman" w:eastAsia="宋体" w:cs="Times New Roman"/>
          <w:b/>
          <w:bCs/>
          <w:sz w:val="24"/>
          <w:szCs w:val="24"/>
          <w:lang w:bidi="ar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bidi="ar"/>
        </w:rPr>
        <w:br w:type="page"/>
      </w:r>
    </w:p>
    <w:tbl>
      <w:tblPr>
        <w:tblStyle w:val="6"/>
        <w:tblpPr w:leftFromText="180" w:rightFromText="180" w:vertAnchor="text" w:horzAnchor="page" w:tblpX="1819" w:tblpY="624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738"/>
        <w:gridCol w:w="3445"/>
      </w:tblGrid>
      <w:tr w14:paraId="3B3CAE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</w:tcBorders>
          </w:tcPr>
          <w:p w14:paraId="71D88B28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Gene</w:t>
            </w:r>
          </w:p>
        </w:tc>
        <w:tc>
          <w:tcPr>
            <w:tcW w:w="3738" w:type="dxa"/>
            <w:tcBorders>
              <w:top w:val="single" w:color="auto" w:sz="4" w:space="0"/>
              <w:bottom w:val="single" w:color="auto" w:sz="4" w:space="0"/>
            </w:tcBorders>
          </w:tcPr>
          <w:p w14:paraId="71F17AFC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 xml:space="preserve">Forward primer 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  <w:cs/>
                <w:lang w:bidi="th-TH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  <w:cs/>
                <w:lang w:bidi="th-TH"/>
              </w:rPr>
              <w:t>’-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  <w:cs/>
                <w:lang w:bidi="th-TH"/>
              </w:rPr>
              <w:t>’)</w:t>
            </w:r>
          </w:p>
        </w:tc>
        <w:tc>
          <w:tcPr>
            <w:tcW w:w="3445" w:type="dxa"/>
            <w:tcBorders>
              <w:top w:val="single" w:color="auto" w:sz="4" w:space="0"/>
              <w:bottom w:val="single" w:color="auto" w:sz="4" w:space="0"/>
            </w:tcBorders>
          </w:tcPr>
          <w:p w14:paraId="56B164BB"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 xml:space="preserve">Reverse primer 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  <w:cs/>
                <w:lang w:bidi="th-TH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  <w:cs/>
                <w:lang w:bidi="th-TH"/>
              </w:rPr>
              <w:t>’-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  <w:cs/>
                <w:lang w:bidi="th-TH"/>
              </w:rPr>
              <w:t>’)</w:t>
            </w:r>
          </w:p>
        </w:tc>
      </w:tr>
      <w:tr w14:paraId="4DECB9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tcBorders>
              <w:top w:val="single" w:color="auto" w:sz="4" w:space="0"/>
            </w:tcBorders>
          </w:tcPr>
          <w:p w14:paraId="2AEE6FA6">
            <w:pPr>
              <w:spacing w:line="480" w:lineRule="auto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  <w:t>OPA1</w:t>
            </w:r>
          </w:p>
        </w:tc>
        <w:tc>
          <w:tcPr>
            <w:tcW w:w="3738" w:type="dxa"/>
            <w:tcBorders>
              <w:top w:val="single" w:color="auto" w:sz="4" w:space="0"/>
            </w:tcBorders>
          </w:tcPr>
          <w:p w14:paraId="56FEC202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GATGACACGCTCTCCAGTGAAG</w:t>
            </w:r>
          </w:p>
        </w:tc>
        <w:tc>
          <w:tcPr>
            <w:tcW w:w="3445" w:type="dxa"/>
            <w:tcBorders>
              <w:top w:val="single" w:color="auto" w:sz="4" w:space="0"/>
            </w:tcBorders>
          </w:tcPr>
          <w:p w14:paraId="6FF42FAA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CTCGGGGCTAACAGTACAACC</w:t>
            </w:r>
          </w:p>
        </w:tc>
      </w:tr>
      <w:tr w14:paraId="31BF24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0151A609">
            <w:pPr>
              <w:spacing w:line="480" w:lineRule="auto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  <w:t>MFN1</w:t>
            </w:r>
          </w:p>
        </w:tc>
        <w:tc>
          <w:tcPr>
            <w:tcW w:w="3738" w:type="dxa"/>
          </w:tcPr>
          <w:p w14:paraId="7EB3F886">
            <w:pPr>
              <w:spacing w:line="48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ATTGGGGAGGTGCTGTCTC</w:t>
            </w:r>
          </w:p>
        </w:tc>
        <w:tc>
          <w:tcPr>
            <w:tcW w:w="3445" w:type="dxa"/>
          </w:tcPr>
          <w:p w14:paraId="211588A4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TTCGGTCATAAGGTAGGCTTT</w:t>
            </w:r>
          </w:p>
        </w:tc>
      </w:tr>
      <w:tr w14:paraId="4F0FF8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9" w:type="dxa"/>
          </w:tcPr>
          <w:p w14:paraId="4DB7E7E9">
            <w:pPr>
              <w:spacing w:line="480" w:lineRule="auto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  <w:t>Fis1</w:t>
            </w:r>
          </w:p>
        </w:tc>
        <w:tc>
          <w:tcPr>
            <w:tcW w:w="3738" w:type="dxa"/>
          </w:tcPr>
          <w:p w14:paraId="3C67E588">
            <w:pPr>
              <w:spacing w:line="48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AAGTATGTGCGAGGGCTGT</w:t>
            </w:r>
          </w:p>
        </w:tc>
        <w:tc>
          <w:tcPr>
            <w:tcW w:w="3445" w:type="dxa"/>
          </w:tcPr>
          <w:p w14:paraId="59ECC8EA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TGCCTACCAGTCCATCTTTC</w:t>
            </w:r>
          </w:p>
        </w:tc>
      </w:tr>
      <w:tr w14:paraId="196959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5938A45C">
            <w:pPr>
              <w:spacing w:line="480" w:lineRule="auto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  <w:t>Drp1</w:t>
            </w:r>
          </w:p>
        </w:tc>
        <w:tc>
          <w:tcPr>
            <w:tcW w:w="3738" w:type="dxa"/>
          </w:tcPr>
          <w:p w14:paraId="6C570B81">
            <w:pPr>
              <w:spacing w:line="48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TCAACACAAAACACCCCGAC</w:t>
            </w:r>
          </w:p>
        </w:tc>
        <w:tc>
          <w:tcPr>
            <w:tcW w:w="3445" w:type="dxa"/>
          </w:tcPr>
          <w:p w14:paraId="05812284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CAGCATTCCTCTCCAGTTGC</w:t>
            </w:r>
          </w:p>
        </w:tc>
      </w:tr>
      <w:tr w14:paraId="1E51A9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646D7F62">
            <w:pPr>
              <w:spacing w:line="480" w:lineRule="auto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  <w:t>MuRF</w:t>
            </w:r>
          </w:p>
        </w:tc>
        <w:tc>
          <w:tcPr>
            <w:tcW w:w="3738" w:type="dxa"/>
          </w:tcPr>
          <w:p w14:paraId="2D5F9B60">
            <w:pPr>
              <w:spacing w:line="48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TTTGACACCCTCTACGCCAT</w:t>
            </w:r>
          </w:p>
        </w:tc>
        <w:tc>
          <w:tcPr>
            <w:tcW w:w="3445" w:type="dxa"/>
          </w:tcPr>
          <w:p w14:paraId="379E2F94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TTGGCACTTGAGAGGAAGGT</w:t>
            </w:r>
          </w:p>
        </w:tc>
      </w:tr>
      <w:tr w14:paraId="1BD596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138CC386">
            <w:pPr>
              <w:spacing w:line="480" w:lineRule="auto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  <w:t>Atrogin</w:t>
            </w:r>
          </w:p>
        </w:tc>
        <w:tc>
          <w:tcPr>
            <w:tcW w:w="3738" w:type="dxa"/>
          </w:tcPr>
          <w:p w14:paraId="59861B90">
            <w:pPr>
              <w:spacing w:line="48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TCAGAGAGGCAGATTCGCAA</w:t>
            </w:r>
          </w:p>
        </w:tc>
        <w:tc>
          <w:tcPr>
            <w:tcW w:w="3445" w:type="dxa"/>
          </w:tcPr>
          <w:p w14:paraId="482B89B4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TCCAGGAGAGAATGTGGCAG</w:t>
            </w:r>
          </w:p>
        </w:tc>
      </w:tr>
      <w:tr w14:paraId="50A199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504F868F">
            <w:pPr>
              <w:spacing w:line="480" w:lineRule="auto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  <w:lang w:bidi="ar"/>
              </w:rPr>
              <w:t>MyHC-II</w:t>
            </w:r>
          </w:p>
        </w:tc>
        <w:tc>
          <w:tcPr>
            <w:tcW w:w="3738" w:type="dxa"/>
          </w:tcPr>
          <w:p w14:paraId="6ED2E4EF">
            <w:pPr>
              <w:spacing w:line="480" w:lineRule="auto"/>
              <w:rPr>
                <w:rFonts w:ascii="Times New Roman" w:hAnsi="Times New Roman" w:eastAsia="宋体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ACTTTGGCACTACGGGGAAAC</w:t>
            </w:r>
          </w:p>
        </w:tc>
        <w:tc>
          <w:tcPr>
            <w:tcW w:w="3445" w:type="dxa"/>
          </w:tcPr>
          <w:p w14:paraId="7288DC6A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CAGCAGCATTTCGATCAGCTC</w:t>
            </w:r>
          </w:p>
        </w:tc>
      </w:tr>
      <w:tr w14:paraId="1FEDA1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287232E8">
            <w:pPr>
              <w:spacing w:line="480" w:lineRule="auto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  <w:lang w:bidi="ar"/>
              </w:rPr>
              <w:t>MyHC-IIa</w:t>
            </w:r>
          </w:p>
        </w:tc>
        <w:tc>
          <w:tcPr>
            <w:tcW w:w="3738" w:type="dxa"/>
          </w:tcPr>
          <w:p w14:paraId="32EE2EEB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"/>
              </w:rPr>
              <w:t>CAGCTGCACCTTCTCGTTTG</w:t>
            </w:r>
          </w:p>
        </w:tc>
        <w:tc>
          <w:tcPr>
            <w:tcW w:w="3445" w:type="dxa"/>
          </w:tcPr>
          <w:p w14:paraId="1CC5CAE5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"/>
              </w:rPr>
              <w:t>CCCGAAAACGGCCATCT</w:t>
            </w:r>
          </w:p>
        </w:tc>
      </w:tr>
      <w:tr w14:paraId="799B2E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37380EA5">
            <w:pPr>
              <w:spacing w:line="480" w:lineRule="auto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  <w:lang w:bidi="ar"/>
              </w:rPr>
              <w:t>MyHC-IIb</w:t>
            </w:r>
          </w:p>
        </w:tc>
        <w:tc>
          <w:tcPr>
            <w:tcW w:w="3738" w:type="dxa"/>
          </w:tcPr>
          <w:p w14:paraId="65F0AED1">
            <w:pPr>
              <w:spacing w:line="480" w:lineRule="auto"/>
              <w:rPr>
                <w:rFonts w:ascii="Times New Roman" w:hAnsi="Times New Roman" w:eastAsia="宋体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CAATCAGGAACCTTCGGAACAC</w:t>
            </w:r>
          </w:p>
        </w:tc>
        <w:tc>
          <w:tcPr>
            <w:tcW w:w="3445" w:type="dxa"/>
          </w:tcPr>
          <w:p w14:paraId="0DD43BD0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"/>
              </w:rPr>
              <w:t>GTCCTGGCCTCTGAGAGCAT</w:t>
            </w:r>
          </w:p>
        </w:tc>
      </w:tr>
      <w:tr w14:paraId="6B29FA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339" w:type="dxa"/>
          </w:tcPr>
          <w:p w14:paraId="5BC23634">
            <w:pPr>
              <w:spacing w:line="480" w:lineRule="auto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  <w:lang w:bidi="ar"/>
              </w:rPr>
              <w:t>MyHC-I</w:t>
            </w:r>
          </w:p>
        </w:tc>
        <w:tc>
          <w:tcPr>
            <w:tcW w:w="3738" w:type="dxa"/>
          </w:tcPr>
          <w:p w14:paraId="483AE5E5">
            <w:pPr>
              <w:spacing w:line="480" w:lineRule="auto"/>
              <w:rPr>
                <w:rFonts w:ascii="Times New Roman" w:hAnsi="Times New Roman" w:eastAsia="宋体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GCCTGGGCTTACCTCTCTATCAC</w:t>
            </w:r>
          </w:p>
        </w:tc>
        <w:tc>
          <w:tcPr>
            <w:tcW w:w="3445" w:type="dxa"/>
          </w:tcPr>
          <w:p w14:paraId="71A8756D">
            <w:pPr>
              <w:spacing w:before="100" w:beforeAutospacing="1" w:line="48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"/>
              </w:rPr>
              <w:t>CTTCTCAGACTTCCGCAGGAA</w:t>
            </w:r>
          </w:p>
        </w:tc>
      </w:tr>
      <w:tr w14:paraId="35C703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339" w:type="dxa"/>
          </w:tcPr>
          <w:p w14:paraId="5D35A74A">
            <w:pPr>
              <w:spacing w:line="480" w:lineRule="auto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  <w:t>Alpha Actin</w:t>
            </w:r>
          </w:p>
        </w:tc>
        <w:tc>
          <w:tcPr>
            <w:tcW w:w="3738" w:type="dxa"/>
          </w:tcPr>
          <w:p w14:paraId="1B07AD2F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ATCGGTATGGAGTCTGCGG</w:t>
            </w:r>
          </w:p>
        </w:tc>
        <w:tc>
          <w:tcPr>
            <w:tcW w:w="3445" w:type="dxa"/>
          </w:tcPr>
          <w:p w14:paraId="746C4222">
            <w:pPr>
              <w:spacing w:before="100" w:beforeAutospacing="1" w:after="100" w:afterAutospacing="1" w:line="48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CACACTGAGTACTTGCGCTC</w:t>
            </w:r>
          </w:p>
        </w:tc>
      </w:tr>
    </w:tbl>
    <w:p w14:paraId="60CF10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bidi="ar"/>
        </w:rPr>
        <w:t>Table 1</w:t>
      </w:r>
      <w:r>
        <w:rPr>
          <w:rFonts w:ascii="Times New Roman" w:hAnsi="Times New Roman" w:eastAsia="宋体" w:cs="Times New Roman"/>
          <w:sz w:val="24"/>
          <w:szCs w:val="24"/>
          <w:cs/>
          <w:lang w:bidi="th-TH"/>
        </w:rPr>
        <w:t xml:space="preserve">. </w:t>
      </w:r>
      <w:r>
        <w:rPr>
          <w:rFonts w:ascii="Times New Roman" w:hAnsi="Times New Roman" w:eastAsia="宋体" w:cs="Times New Roman"/>
          <w:sz w:val="24"/>
          <w:szCs w:val="24"/>
          <w:lang w:bidi="ar"/>
        </w:rPr>
        <w:t>Sequences of gene-specific primers for qPCR</w:t>
      </w:r>
    </w:p>
    <w:p w14:paraId="6EB8BAE5">
      <w:pPr>
        <w:spacing w:line="480" w:lineRule="auto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yMDa1NDS1NDAztDBW0lEKTi0uzszPAykwrgUA86wetSwAAAA="/>
    <w:docVar w:name="commondata" w:val="eyJoZGlkIjoiYmQ3NjQxYmZmN2ZkODIxYWNiNTEzMzQyMTZmNzQ1MmMifQ=="/>
  </w:docVars>
  <w:rsids>
    <w:rsidRoot w:val="0071227F"/>
    <w:rsid w:val="00056006"/>
    <w:rsid w:val="000D7AD5"/>
    <w:rsid w:val="000F04C2"/>
    <w:rsid w:val="001D578F"/>
    <w:rsid w:val="001E5D67"/>
    <w:rsid w:val="002201EA"/>
    <w:rsid w:val="002751FE"/>
    <w:rsid w:val="003D20B3"/>
    <w:rsid w:val="0042401B"/>
    <w:rsid w:val="004B1941"/>
    <w:rsid w:val="004D236E"/>
    <w:rsid w:val="006639E6"/>
    <w:rsid w:val="006850F7"/>
    <w:rsid w:val="0071227F"/>
    <w:rsid w:val="0072483C"/>
    <w:rsid w:val="00822C42"/>
    <w:rsid w:val="009C36BF"/>
    <w:rsid w:val="00A02534"/>
    <w:rsid w:val="00BC5457"/>
    <w:rsid w:val="00D45E02"/>
    <w:rsid w:val="00F05AAE"/>
    <w:rsid w:val="00FD4207"/>
    <w:rsid w:val="00FF3A6B"/>
    <w:rsid w:val="146846B4"/>
    <w:rsid w:val="48F60690"/>
    <w:rsid w:val="6EFB3EA2"/>
    <w:rsid w:val="739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th-TH"/>
    </w:rPr>
  </w:style>
  <w:style w:type="table" w:styleId="6">
    <w:name w:val="Table Grid"/>
    <w:qFormat/>
    <w:uiPriority w:val="39"/>
    <w:rPr>
      <w:rFonts w:eastAsia="等线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table" w:customStyle="1" w:styleId="10">
    <w:name w:val="Table Grid21"/>
    <w:basedOn w:val="5"/>
    <w:qFormat/>
    <w:uiPriority w:val="39"/>
    <w:rPr>
      <w:rFonts w:ascii="Calibri" w:hAnsi="Calibri" w:eastAsia="Calibri" w:cs="Cordia New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420</Words>
  <Characters>2724</Characters>
  <Lines>22</Lines>
  <Paragraphs>6</Paragraphs>
  <TotalTime>12</TotalTime>
  <ScaleCrop>false</ScaleCrop>
  <LinksUpToDate>false</LinksUpToDate>
  <CharactersWithSpaces>3098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2024-11-14T11:16:00Z</dcterms:created>
  <dc:creator>Administrator</dc:creator>
  <cp:lastModifiedBy>fang'zi'yang</cp:lastModifiedBy>
  <dcterms:modified xsi:type="dcterms:W3CDTF">2025-06-14T01:41:49Z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75B4AFE6C0454ADE957D714113232408_13</vt:lpwstr>
  </property>
  <property fmtid="{D5CDD505-2E9C-101B-9397-08002B2CF9AE}" pid="4" name="KSOTemplateDocerSaveRecord">
    <vt:lpwstr>eyJoZGlkIjoiYmQ3NjQxYmZmN2ZkODIxYWNiNTEzMzQyMTZmNzQ1MmMifQ==</vt:lpwstr>
  </property>
</Properties>
</file>