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97E1DB" w14:textId="77777777" w:rsidR="004212DE" w:rsidRDefault="004212DE" w:rsidP="004212DE">
      <w:pPr>
        <w:jc w:val="center"/>
        <w:rPr>
          <w:rFonts w:ascii="Times New Roman" w:eastAsia="Times New Roman" w:hAnsi="Times New Roman" w:cs="Times New Roman"/>
          <w:sz w:val="20"/>
          <w:szCs w:val="20"/>
        </w:rPr>
      </w:pPr>
      <w:r>
        <w:rPr>
          <w:noProof/>
        </w:rPr>
        <w:drawing>
          <wp:inline distT="0" distB="0" distL="0" distR="0" wp14:anchorId="3321727A" wp14:editId="25317F93">
            <wp:extent cx="5515015" cy="4803810"/>
            <wp:effectExtent l="0" t="0" r="0" b="0"/>
            <wp:docPr id="240104440" name="drawing" descr="A collage of images of dna molecu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104440" name="drawing" descr="A collage of images of dna molecules&#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5515015" cy="4803810"/>
                    </a:xfrm>
                    <a:prstGeom prst="rect">
                      <a:avLst/>
                    </a:prstGeom>
                  </pic:spPr>
                </pic:pic>
              </a:graphicData>
            </a:graphic>
          </wp:inline>
        </w:drawing>
      </w:r>
    </w:p>
    <w:p w14:paraId="7CC04E8B" w14:textId="77777777" w:rsidR="004212DE" w:rsidRDefault="004212DE" w:rsidP="004212DE">
      <w:pPr>
        <w:rPr>
          <w:rFonts w:ascii="Times New Roman" w:eastAsia="Times New Roman" w:hAnsi="Times New Roman" w:cs="Times New Roman"/>
          <w:sz w:val="20"/>
          <w:szCs w:val="20"/>
        </w:rPr>
      </w:pPr>
      <w:r w:rsidRPr="15358D11">
        <w:rPr>
          <w:rFonts w:ascii="Times New Roman" w:eastAsia="Times New Roman" w:hAnsi="Times New Roman" w:cs="Times New Roman"/>
          <w:b/>
          <w:bCs/>
          <w:sz w:val="20"/>
          <w:szCs w:val="20"/>
        </w:rPr>
        <w:t>Extended Data Fig. 1 | Epitope analysis of 3BC315 in AMC008-PGT121-VRC01-3BC315. a</w:t>
      </w:r>
      <w:r w:rsidRPr="15358D11">
        <w:rPr>
          <w:rFonts w:ascii="Times New Roman" w:eastAsia="Times New Roman" w:hAnsi="Times New Roman" w:cs="Times New Roman"/>
          <w:sz w:val="20"/>
          <w:szCs w:val="20"/>
        </w:rPr>
        <w:t xml:space="preserve"> Left and middle: surface areas of AMC008 buried by 3BC315 Fab. Right: close-up view of the 3BC315 binding epitope. b</w:t>
      </w:r>
      <w:r w:rsidRPr="15358D11">
        <w:rPr>
          <w:rFonts w:ascii="Times New Roman" w:eastAsia="Times New Roman" w:hAnsi="Times New Roman" w:cs="Times New Roman"/>
          <w:b/>
          <w:bCs/>
          <w:sz w:val="20"/>
          <w:szCs w:val="20"/>
        </w:rPr>
        <w:t xml:space="preserve"> </w:t>
      </w:r>
      <w:r w:rsidRPr="15358D11">
        <w:rPr>
          <w:rFonts w:ascii="Times New Roman" w:eastAsia="Times New Roman" w:hAnsi="Times New Roman" w:cs="Times New Roman"/>
          <w:sz w:val="20"/>
          <w:szCs w:val="20"/>
        </w:rPr>
        <w:t>Glycan N88 is flipped to accommodate 3BC315.</w:t>
      </w:r>
      <w:r w:rsidRPr="15358D11">
        <w:rPr>
          <w:rFonts w:ascii="Times New Roman" w:eastAsia="Times New Roman" w:hAnsi="Times New Roman" w:cs="Times New Roman"/>
          <w:b/>
          <w:bCs/>
          <w:sz w:val="20"/>
          <w:szCs w:val="20"/>
        </w:rPr>
        <w:t xml:space="preserve"> c </w:t>
      </w:r>
      <w:r w:rsidRPr="15358D11">
        <w:rPr>
          <w:rFonts w:ascii="Times New Roman" w:eastAsia="Times New Roman" w:hAnsi="Times New Roman" w:cs="Times New Roman"/>
          <w:sz w:val="20"/>
          <w:szCs w:val="20"/>
        </w:rPr>
        <w:t>Hydrophilic interactions at the AMC008-3BC315 epitope-paratope interface.</w:t>
      </w:r>
      <w:r w:rsidRPr="15358D11">
        <w:rPr>
          <w:rFonts w:ascii="Times New Roman" w:eastAsia="Times New Roman" w:hAnsi="Times New Roman" w:cs="Times New Roman"/>
          <w:b/>
          <w:bCs/>
          <w:sz w:val="20"/>
          <w:szCs w:val="20"/>
        </w:rPr>
        <w:t xml:space="preserve"> d </w:t>
      </w:r>
      <w:r w:rsidRPr="15358D11">
        <w:rPr>
          <w:rFonts w:ascii="Times New Roman" w:eastAsia="Times New Roman" w:hAnsi="Times New Roman" w:cs="Times New Roman"/>
          <w:sz w:val="20"/>
          <w:szCs w:val="20"/>
        </w:rPr>
        <w:t xml:space="preserve">Left: G524-G540 of AMC008 interact with a highly hydrophobic groove at the interface of 3BC315 heavy chain and light chain formed by six aromatic amino acid residues. The surfaces of 3BC315 are colored by hydrophobicity. Right: hydrophobic contacts at the interface. </w:t>
      </w:r>
      <w:r w:rsidRPr="15358D11">
        <w:rPr>
          <w:rFonts w:ascii="Times New Roman" w:eastAsia="Times New Roman" w:hAnsi="Times New Roman" w:cs="Times New Roman"/>
          <w:b/>
          <w:bCs/>
          <w:sz w:val="20"/>
          <w:szCs w:val="20"/>
        </w:rPr>
        <w:t xml:space="preserve">e </w:t>
      </w:r>
      <w:r w:rsidRPr="15358D11">
        <w:rPr>
          <w:rFonts w:ascii="Times New Roman" w:eastAsia="Times New Roman" w:hAnsi="Times New Roman" w:cs="Times New Roman"/>
          <w:sz w:val="20"/>
          <w:szCs w:val="20"/>
        </w:rPr>
        <w:t>Left: 3BC315 CDRH3 is inserted into a hydrophobic hole on the AMC008 gp120-gp41-gp41* interface. The surfaces of AMC008 are colored by hydrophobicity. Right: hydrophobic contacts at the interface. Hydrogen bonds are indicated by blue dash</w:t>
      </w:r>
      <w:r>
        <w:rPr>
          <w:rFonts w:ascii="Times New Roman" w:eastAsia="Times New Roman" w:hAnsi="Times New Roman" w:cs="Times New Roman"/>
          <w:sz w:val="20"/>
          <w:szCs w:val="20"/>
        </w:rPr>
        <w:t>ed</w:t>
      </w:r>
      <w:r w:rsidRPr="15358D11">
        <w:rPr>
          <w:rFonts w:ascii="Times New Roman" w:eastAsia="Times New Roman" w:hAnsi="Times New Roman" w:cs="Times New Roman"/>
          <w:sz w:val="20"/>
          <w:szCs w:val="20"/>
        </w:rPr>
        <w:t xml:space="preserve"> lines; salt bridges are indicated by orange dash</w:t>
      </w:r>
      <w:r>
        <w:rPr>
          <w:rFonts w:ascii="Times New Roman" w:eastAsia="Times New Roman" w:hAnsi="Times New Roman" w:cs="Times New Roman"/>
          <w:sz w:val="20"/>
          <w:szCs w:val="20"/>
        </w:rPr>
        <w:t>ed</w:t>
      </w:r>
      <w:r w:rsidRPr="15358D11">
        <w:rPr>
          <w:rFonts w:ascii="Times New Roman" w:eastAsia="Times New Roman" w:hAnsi="Times New Roman" w:cs="Times New Roman"/>
          <w:sz w:val="20"/>
          <w:szCs w:val="20"/>
        </w:rPr>
        <w:t xml:space="preserve"> lines; hydrophobic contacts are indicated by green dash</w:t>
      </w:r>
      <w:r>
        <w:rPr>
          <w:rFonts w:ascii="Times New Roman" w:eastAsia="Times New Roman" w:hAnsi="Times New Roman" w:cs="Times New Roman"/>
          <w:sz w:val="20"/>
          <w:szCs w:val="20"/>
        </w:rPr>
        <w:t>ed</w:t>
      </w:r>
      <w:r w:rsidRPr="15358D11">
        <w:rPr>
          <w:rFonts w:ascii="Times New Roman" w:eastAsia="Times New Roman" w:hAnsi="Times New Roman" w:cs="Times New Roman"/>
          <w:sz w:val="20"/>
          <w:szCs w:val="20"/>
        </w:rPr>
        <w:t xml:space="preserve"> lines. Amino acids from the adjacent protomer are labeled by * marks. PGT121 and VRC01 Fabs are hidden for better visualization in b-f. Coloring schemes of ribbon representation in e and f are same as d.</w:t>
      </w:r>
    </w:p>
    <w:p w14:paraId="78922F57" w14:textId="77777777" w:rsidR="004212DE" w:rsidRDefault="004212DE" w:rsidP="004212DE">
      <w:r>
        <w:br w:type="page"/>
      </w:r>
    </w:p>
    <w:p w14:paraId="1B2F1EC2" w14:textId="77777777" w:rsidR="004212DE" w:rsidRDefault="004212DE" w:rsidP="004212DE">
      <w:pPr>
        <w:jc w:val="center"/>
      </w:pPr>
      <w:r>
        <w:rPr>
          <w:noProof/>
        </w:rPr>
        <w:lastRenderedPageBreak/>
        <w:drawing>
          <wp:inline distT="0" distB="0" distL="0" distR="0" wp14:anchorId="76F7E84A" wp14:editId="1F976070">
            <wp:extent cx="4724400" cy="5943600"/>
            <wp:effectExtent l="0" t="0" r="0" b="0"/>
            <wp:docPr id="281843648" name="drawing" descr="A collage of multiple colored objec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843648" name="drawing" descr="A collage of multiple colored objects&#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4724400" cy="5943600"/>
                    </a:xfrm>
                    <a:prstGeom prst="rect">
                      <a:avLst/>
                    </a:prstGeom>
                  </pic:spPr>
                </pic:pic>
              </a:graphicData>
            </a:graphic>
          </wp:inline>
        </w:drawing>
      </w:r>
    </w:p>
    <w:p w14:paraId="79BBBF95" w14:textId="77777777" w:rsidR="004212DE" w:rsidRDefault="004212DE" w:rsidP="004212DE">
      <w:pPr>
        <w:rPr>
          <w:rFonts w:ascii="Times New Roman" w:eastAsia="Times New Roman" w:hAnsi="Times New Roman" w:cs="Times New Roman"/>
          <w:sz w:val="20"/>
          <w:szCs w:val="20"/>
        </w:rPr>
      </w:pPr>
      <w:r w:rsidRPr="5C363AD7">
        <w:rPr>
          <w:rFonts w:ascii="Times New Roman" w:eastAsia="Times New Roman" w:hAnsi="Times New Roman" w:cs="Times New Roman"/>
          <w:b/>
          <w:bCs/>
          <w:sz w:val="20"/>
          <w:szCs w:val="20"/>
        </w:rPr>
        <w:t>Extended Data Fig. 2 | Supplementary data of 3BC31</w:t>
      </w:r>
      <w:r>
        <w:rPr>
          <w:rFonts w:ascii="Times New Roman" w:eastAsia="Times New Roman" w:hAnsi="Times New Roman" w:cs="Times New Roman"/>
          <w:b/>
          <w:bCs/>
          <w:sz w:val="20"/>
          <w:szCs w:val="20"/>
        </w:rPr>
        <w:t>5-</w:t>
      </w:r>
      <w:r w:rsidRPr="5C363AD7">
        <w:rPr>
          <w:rFonts w:ascii="Times New Roman" w:eastAsia="Times New Roman" w:hAnsi="Times New Roman" w:cs="Times New Roman"/>
          <w:b/>
          <w:bCs/>
          <w:sz w:val="20"/>
          <w:szCs w:val="20"/>
        </w:rPr>
        <w:t>bound AMC008 SOSIP. a</w:t>
      </w:r>
      <w:r w:rsidRPr="5C363AD7">
        <w:rPr>
          <w:rFonts w:ascii="Times New Roman" w:eastAsia="Times New Roman" w:hAnsi="Times New Roman" w:cs="Times New Roman"/>
          <w:sz w:val="20"/>
          <w:szCs w:val="20"/>
        </w:rPr>
        <w:t xml:space="preserve"> 2.</w:t>
      </w:r>
      <w:r w:rsidRPr="0D269552">
        <w:rPr>
          <w:rFonts w:ascii="Times New Roman" w:eastAsia="Times New Roman" w:hAnsi="Times New Roman" w:cs="Times New Roman"/>
          <w:sz w:val="20"/>
          <w:szCs w:val="20"/>
        </w:rPr>
        <w:t>9 Å</w:t>
      </w:r>
      <w:r w:rsidRPr="5C363AD7">
        <w:rPr>
          <w:rFonts w:ascii="Times New Roman" w:eastAsia="Times New Roman" w:hAnsi="Times New Roman" w:cs="Times New Roman"/>
          <w:sz w:val="20"/>
          <w:szCs w:val="20"/>
        </w:rPr>
        <w:t xml:space="preserve"> cryo-EM density map (left and middle, top and side views) and atomic model (right) of AMC008 in complex with VRC01 and 35O22 Fabs.</w:t>
      </w:r>
      <w:r w:rsidRPr="5C363AD7">
        <w:rPr>
          <w:rFonts w:ascii="Times New Roman" w:eastAsia="Times New Roman" w:hAnsi="Times New Roman" w:cs="Times New Roman"/>
          <w:b/>
          <w:bCs/>
          <w:sz w:val="20"/>
          <w:szCs w:val="20"/>
        </w:rPr>
        <w:t xml:space="preserve"> b </w:t>
      </w:r>
      <w:r w:rsidRPr="5C363AD7">
        <w:rPr>
          <w:rFonts w:ascii="Times New Roman" w:eastAsia="Times New Roman" w:hAnsi="Times New Roman" w:cs="Times New Roman"/>
          <w:sz w:val="20"/>
          <w:szCs w:val="20"/>
        </w:rPr>
        <w:t>3.</w:t>
      </w:r>
      <w:r w:rsidRPr="0D269552">
        <w:rPr>
          <w:rFonts w:ascii="Times New Roman" w:eastAsia="Times New Roman" w:hAnsi="Times New Roman" w:cs="Times New Roman"/>
          <w:sz w:val="20"/>
          <w:szCs w:val="20"/>
        </w:rPr>
        <w:t>6 Å</w:t>
      </w:r>
      <w:r w:rsidRPr="5C363AD7">
        <w:rPr>
          <w:rFonts w:ascii="Times New Roman" w:eastAsia="Times New Roman" w:hAnsi="Times New Roman" w:cs="Times New Roman"/>
          <w:sz w:val="20"/>
          <w:szCs w:val="20"/>
        </w:rPr>
        <w:t xml:space="preserve"> and 3.</w:t>
      </w:r>
      <w:r w:rsidRPr="0D269552">
        <w:rPr>
          <w:rFonts w:ascii="Times New Roman" w:eastAsia="Times New Roman" w:hAnsi="Times New Roman" w:cs="Times New Roman"/>
          <w:sz w:val="20"/>
          <w:szCs w:val="20"/>
        </w:rPr>
        <w:t>5 Å</w:t>
      </w:r>
      <w:r w:rsidRPr="5C363AD7">
        <w:rPr>
          <w:rFonts w:ascii="Times New Roman" w:eastAsia="Times New Roman" w:hAnsi="Times New Roman" w:cs="Times New Roman"/>
          <w:sz w:val="20"/>
          <w:szCs w:val="20"/>
        </w:rPr>
        <w:t xml:space="preserve"> cryo-EM density maps (left and middle, top and side views) and atomic models (right) of AMC008 in complex with one 3BC315 Fab (top) and two 3BC315 Fabs (bottom).  </w:t>
      </w:r>
      <w:r w:rsidRPr="5C363AD7">
        <w:rPr>
          <w:rFonts w:ascii="Times New Roman" w:eastAsia="Times New Roman" w:hAnsi="Times New Roman" w:cs="Times New Roman"/>
          <w:b/>
          <w:bCs/>
          <w:sz w:val="20"/>
          <w:szCs w:val="20"/>
        </w:rPr>
        <w:t>c</w:t>
      </w:r>
      <w:r w:rsidRPr="5C363AD7">
        <w:rPr>
          <w:rFonts w:ascii="Times New Roman" w:eastAsia="Times New Roman" w:hAnsi="Times New Roman" w:cs="Times New Roman"/>
          <w:sz w:val="20"/>
          <w:szCs w:val="20"/>
        </w:rPr>
        <w:t xml:space="preserve"> Comparison of AMC008 bound 3BC315 to unliganded 3BC315 crystal structure (5CCK). </w:t>
      </w:r>
      <w:r w:rsidRPr="5C363AD7">
        <w:rPr>
          <w:rFonts w:ascii="Times New Roman" w:eastAsia="Times New Roman" w:hAnsi="Times New Roman" w:cs="Times New Roman"/>
          <w:b/>
          <w:bCs/>
          <w:sz w:val="20"/>
          <w:szCs w:val="20"/>
        </w:rPr>
        <w:t>d</w:t>
      </w:r>
      <w:r w:rsidRPr="5C363AD7">
        <w:rPr>
          <w:rFonts w:ascii="Times New Roman" w:eastAsia="Times New Roman" w:hAnsi="Times New Roman" w:cs="Times New Roman"/>
          <w:sz w:val="20"/>
          <w:szCs w:val="20"/>
        </w:rPr>
        <w:t xml:space="preserve"> Conformational changes of 3BC315 after binding to AMC008. </w:t>
      </w:r>
      <w:r w:rsidRPr="5C363AD7">
        <w:rPr>
          <w:rFonts w:ascii="Times New Roman" w:eastAsia="Times New Roman" w:hAnsi="Times New Roman" w:cs="Times New Roman"/>
          <w:b/>
          <w:bCs/>
          <w:sz w:val="20"/>
          <w:szCs w:val="20"/>
        </w:rPr>
        <w:t>e</w:t>
      </w:r>
      <w:r w:rsidRPr="5C363AD7">
        <w:rPr>
          <w:rFonts w:ascii="Times New Roman" w:eastAsia="Times New Roman" w:hAnsi="Times New Roman" w:cs="Times New Roman"/>
          <w:sz w:val="20"/>
          <w:szCs w:val="20"/>
        </w:rPr>
        <w:t xml:space="preserve"> Comparison of 3BC315 liganded AMC008 protomers in AMC008-PGT121-VRC01-3BC315, AMC008-3BC315 (1x), and AMC008-3BC315 (2x). P1, 3BC315</w:t>
      </w:r>
      <w:r>
        <w:rPr>
          <w:rFonts w:ascii="Times New Roman" w:eastAsia="Times New Roman" w:hAnsi="Times New Roman" w:cs="Times New Roman"/>
          <w:sz w:val="20"/>
          <w:szCs w:val="20"/>
        </w:rPr>
        <w:t>-</w:t>
      </w:r>
      <w:r w:rsidRPr="5C363AD7">
        <w:rPr>
          <w:rFonts w:ascii="Times New Roman" w:eastAsia="Times New Roman" w:hAnsi="Times New Roman" w:cs="Times New Roman"/>
          <w:sz w:val="20"/>
          <w:szCs w:val="20"/>
        </w:rPr>
        <w:t>liganded Protomer 1, P2, 3BC315</w:t>
      </w:r>
      <w:r>
        <w:rPr>
          <w:rFonts w:ascii="Times New Roman" w:eastAsia="Times New Roman" w:hAnsi="Times New Roman" w:cs="Times New Roman"/>
          <w:sz w:val="20"/>
          <w:szCs w:val="20"/>
        </w:rPr>
        <w:t>-</w:t>
      </w:r>
      <w:r w:rsidRPr="5C363AD7">
        <w:rPr>
          <w:rFonts w:ascii="Times New Roman" w:eastAsia="Times New Roman" w:hAnsi="Times New Roman" w:cs="Times New Roman"/>
          <w:sz w:val="20"/>
          <w:szCs w:val="20"/>
        </w:rPr>
        <w:t>liganded Protomer 2.</w:t>
      </w:r>
    </w:p>
    <w:p w14:paraId="32B19F6E" w14:textId="77777777" w:rsidR="004212DE" w:rsidRDefault="004212DE" w:rsidP="004212DE">
      <w:r>
        <w:br w:type="page"/>
      </w:r>
    </w:p>
    <w:p w14:paraId="633E12CE" w14:textId="77777777" w:rsidR="004212DE" w:rsidRDefault="004212DE" w:rsidP="004212DE">
      <w:pPr>
        <w:jc w:val="center"/>
      </w:pPr>
      <w:r>
        <w:rPr>
          <w:noProof/>
        </w:rPr>
        <w:lastRenderedPageBreak/>
        <w:drawing>
          <wp:inline distT="0" distB="0" distL="0" distR="0" wp14:anchorId="0D5B5E6A" wp14:editId="0541C50E">
            <wp:extent cx="5757904" cy="5721392"/>
            <wp:effectExtent l="0" t="0" r="0" b="0"/>
            <wp:docPr id="512928610" name="Picture 5129286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57904" cy="5721392"/>
                    </a:xfrm>
                    <a:prstGeom prst="rect">
                      <a:avLst/>
                    </a:prstGeom>
                  </pic:spPr>
                </pic:pic>
              </a:graphicData>
            </a:graphic>
          </wp:inline>
        </w:drawing>
      </w:r>
    </w:p>
    <w:p w14:paraId="5F644C7D" w14:textId="77777777" w:rsidR="004212DE" w:rsidRDefault="004212DE" w:rsidP="004212DE">
      <w:pPr>
        <w:rPr>
          <w:rFonts w:ascii="Times New Roman" w:eastAsia="Times New Roman" w:hAnsi="Times New Roman" w:cs="Times New Roman"/>
          <w:sz w:val="20"/>
          <w:szCs w:val="20"/>
        </w:rPr>
      </w:pPr>
      <w:r w:rsidRPr="15358D11">
        <w:rPr>
          <w:rFonts w:ascii="Times New Roman" w:eastAsia="Times New Roman" w:hAnsi="Times New Roman" w:cs="Times New Roman"/>
          <w:b/>
          <w:bCs/>
          <w:sz w:val="20"/>
          <w:szCs w:val="20"/>
        </w:rPr>
        <w:t>Extended Data Fig. 3 | Measurement of interprotomer distances.</w:t>
      </w:r>
      <w:r w:rsidRPr="15358D11">
        <w:rPr>
          <w:rFonts w:ascii="Times New Roman" w:eastAsia="Times New Roman" w:hAnsi="Times New Roman" w:cs="Times New Roman"/>
          <w:sz w:val="20"/>
          <w:szCs w:val="20"/>
        </w:rPr>
        <w:t xml:space="preserve"> </w:t>
      </w:r>
      <w:r w:rsidRPr="15358D11">
        <w:rPr>
          <w:rFonts w:ascii="Times New Roman" w:eastAsia="Times New Roman" w:hAnsi="Times New Roman" w:cs="Times New Roman"/>
          <w:b/>
          <w:bCs/>
          <w:sz w:val="20"/>
          <w:szCs w:val="20"/>
        </w:rPr>
        <w:t>a</w:t>
      </w:r>
      <w:r w:rsidRPr="15358D11">
        <w:rPr>
          <w:rFonts w:ascii="Times New Roman" w:eastAsia="Times New Roman" w:hAnsi="Times New Roman" w:cs="Times New Roman"/>
          <w:sz w:val="20"/>
          <w:szCs w:val="20"/>
        </w:rPr>
        <w:t>-</w:t>
      </w:r>
      <w:r w:rsidRPr="15358D11">
        <w:rPr>
          <w:rFonts w:ascii="Times New Roman" w:eastAsia="Times New Roman" w:hAnsi="Times New Roman" w:cs="Times New Roman"/>
          <w:b/>
          <w:bCs/>
          <w:sz w:val="20"/>
          <w:szCs w:val="20"/>
        </w:rPr>
        <w:t>p</w:t>
      </w:r>
      <w:r w:rsidRPr="15358D11">
        <w:rPr>
          <w:rFonts w:ascii="Times New Roman" w:eastAsia="Times New Roman" w:hAnsi="Times New Roman" w:cs="Times New Roman"/>
          <w:sz w:val="20"/>
          <w:szCs w:val="20"/>
        </w:rPr>
        <w:t xml:space="preserve"> Measurement of interprotomer distances of V1V2 apex (Pro124, green), V3 (Cys296, blue) and, CD4bs (Asp368, yellow) in closed (AMC008-VRC01-35O22, </w:t>
      </w:r>
      <w:r w:rsidRPr="15358D11">
        <w:rPr>
          <w:rFonts w:ascii="Times New Roman" w:eastAsia="Times New Roman" w:hAnsi="Times New Roman" w:cs="Times New Roman"/>
          <w:b/>
          <w:bCs/>
          <w:sz w:val="20"/>
          <w:szCs w:val="20"/>
        </w:rPr>
        <w:t>a</w:t>
      </w:r>
      <w:r w:rsidRPr="15358D11">
        <w:rPr>
          <w:rFonts w:ascii="Times New Roman" w:eastAsia="Times New Roman" w:hAnsi="Times New Roman" w:cs="Times New Roman"/>
          <w:sz w:val="20"/>
          <w:szCs w:val="20"/>
        </w:rPr>
        <w:t xml:space="preserve">), b12-bound moderately open (AMC008-b12, </w:t>
      </w:r>
      <w:r w:rsidRPr="15358D11">
        <w:rPr>
          <w:rFonts w:ascii="Times New Roman" w:eastAsia="Times New Roman" w:hAnsi="Times New Roman" w:cs="Times New Roman"/>
          <w:b/>
          <w:bCs/>
          <w:sz w:val="20"/>
          <w:szCs w:val="20"/>
        </w:rPr>
        <w:t>b</w:t>
      </w:r>
      <w:r w:rsidRPr="15358D11">
        <w:rPr>
          <w:rFonts w:ascii="Times New Roman" w:eastAsia="Times New Roman" w:hAnsi="Times New Roman" w:cs="Times New Roman"/>
          <w:sz w:val="20"/>
          <w:szCs w:val="20"/>
        </w:rPr>
        <w:t xml:space="preserve">), CD4-bound moderately open (AMC008-b12, </w:t>
      </w:r>
      <w:r w:rsidRPr="15358D11">
        <w:rPr>
          <w:rFonts w:ascii="Times New Roman" w:eastAsia="Times New Roman" w:hAnsi="Times New Roman" w:cs="Times New Roman"/>
          <w:b/>
          <w:bCs/>
          <w:sz w:val="20"/>
          <w:szCs w:val="20"/>
        </w:rPr>
        <w:t>c</w:t>
      </w:r>
      <w:r w:rsidRPr="15358D11">
        <w:rPr>
          <w:rFonts w:ascii="Times New Roman" w:eastAsia="Times New Roman" w:hAnsi="Times New Roman" w:cs="Times New Roman"/>
          <w:sz w:val="20"/>
          <w:szCs w:val="20"/>
        </w:rPr>
        <w:t xml:space="preserve">), HmAb64-bound partially open (CNE40-HmAb64, </w:t>
      </w:r>
      <w:r w:rsidRPr="15358D11">
        <w:rPr>
          <w:rFonts w:ascii="Times New Roman" w:eastAsia="Times New Roman" w:hAnsi="Times New Roman" w:cs="Times New Roman"/>
          <w:b/>
          <w:bCs/>
          <w:sz w:val="20"/>
          <w:szCs w:val="20"/>
        </w:rPr>
        <w:t>d</w:t>
      </w:r>
      <w:r w:rsidRPr="15358D11">
        <w:rPr>
          <w:rFonts w:ascii="Times New Roman" w:eastAsia="Times New Roman" w:hAnsi="Times New Roman" w:cs="Times New Roman"/>
          <w:sz w:val="20"/>
          <w:szCs w:val="20"/>
        </w:rPr>
        <w:t xml:space="preserve">), CD4-bound partially open (BG505-8ANC195-17b-CD4, </w:t>
      </w:r>
      <w:r w:rsidRPr="15358D11">
        <w:rPr>
          <w:rFonts w:ascii="Times New Roman" w:eastAsia="Times New Roman" w:hAnsi="Times New Roman" w:cs="Times New Roman"/>
          <w:b/>
          <w:bCs/>
          <w:sz w:val="20"/>
          <w:szCs w:val="20"/>
        </w:rPr>
        <w:t>e</w:t>
      </w:r>
      <w:r w:rsidRPr="15358D11">
        <w:rPr>
          <w:rFonts w:ascii="Times New Roman" w:eastAsia="Times New Roman" w:hAnsi="Times New Roman" w:cs="Times New Roman"/>
          <w:sz w:val="20"/>
          <w:szCs w:val="20"/>
        </w:rPr>
        <w:t>), b12-bound fully open (B41-b12 ,</w:t>
      </w:r>
      <w:r w:rsidRPr="15358D11">
        <w:rPr>
          <w:rFonts w:ascii="Times New Roman" w:eastAsia="Times New Roman" w:hAnsi="Times New Roman" w:cs="Times New Roman"/>
          <w:b/>
          <w:bCs/>
          <w:sz w:val="20"/>
          <w:szCs w:val="20"/>
        </w:rPr>
        <w:t>f</w:t>
      </w:r>
      <w:r w:rsidRPr="15358D11">
        <w:rPr>
          <w:rFonts w:ascii="Times New Roman" w:eastAsia="Times New Roman" w:hAnsi="Times New Roman" w:cs="Times New Roman"/>
          <w:sz w:val="20"/>
          <w:szCs w:val="20"/>
        </w:rPr>
        <w:t xml:space="preserve">), CD4-bound fully open (B41-17b-CD4, </w:t>
      </w:r>
      <w:r w:rsidRPr="15358D11">
        <w:rPr>
          <w:rFonts w:ascii="Times New Roman" w:eastAsia="Times New Roman" w:hAnsi="Times New Roman" w:cs="Times New Roman"/>
          <w:b/>
          <w:bCs/>
          <w:sz w:val="20"/>
          <w:szCs w:val="20"/>
        </w:rPr>
        <w:t>g</w:t>
      </w:r>
      <w:r w:rsidRPr="15358D11">
        <w:rPr>
          <w:rFonts w:ascii="Times New Roman" w:eastAsia="Times New Roman" w:hAnsi="Times New Roman" w:cs="Times New Roman"/>
          <w:sz w:val="20"/>
          <w:szCs w:val="20"/>
        </w:rPr>
        <w:t xml:space="preserve">), b12 and 3BC315-bound asymmetric open (AMC008-b12-3BC315, </w:t>
      </w:r>
      <w:r w:rsidRPr="15358D11">
        <w:rPr>
          <w:rFonts w:ascii="Times New Roman" w:eastAsia="Times New Roman" w:hAnsi="Times New Roman" w:cs="Times New Roman"/>
          <w:b/>
          <w:bCs/>
          <w:sz w:val="20"/>
          <w:szCs w:val="20"/>
        </w:rPr>
        <w:t>h</w:t>
      </w:r>
      <w:r w:rsidRPr="15358D11">
        <w:rPr>
          <w:rFonts w:ascii="Times New Roman" w:eastAsia="Times New Roman" w:hAnsi="Times New Roman" w:cs="Times New Roman"/>
          <w:sz w:val="20"/>
          <w:szCs w:val="20"/>
        </w:rPr>
        <w:t xml:space="preserve">), two CD4 bound asymmetric open (HT2-CD4, </w:t>
      </w:r>
      <w:r w:rsidRPr="15358D11">
        <w:rPr>
          <w:rFonts w:ascii="Times New Roman" w:eastAsia="Times New Roman" w:hAnsi="Times New Roman" w:cs="Times New Roman"/>
          <w:b/>
          <w:bCs/>
          <w:sz w:val="20"/>
          <w:szCs w:val="20"/>
        </w:rPr>
        <w:t>i</w:t>
      </w:r>
      <w:r w:rsidRPr="15358D11">
        <w:rPr>
          <w:rFonts w:ascii="Times New Roman" w:eastAsia="Times New Roman" w:hAnsi="Times New Roman" w:cs="Times New Roman"/>
          <w:sz w:val="20"/>
          <w:szCs w:val="20"/>
        </w:rPr>
        <w:t xml:space="preserve">), three CD4-bound asymmetric open (BG505-E51-CD4, Class I and II, </w:t>
      </w:r>
      <w:r w:rsidRPr="15358D11">
        <w:rPr>
          <w:rFonts w:ascii="Times New Roman" w:eastAsia="Times New Roman" w:hAnsi="Times New Roman" w:cs="Times New Roman"/>
          <w:b/>
          <w:bCs/>
          <w:sz w:val="20"/>
          <w:szCs w:val="20"/>
        </w:rPr>
        <w:t>l</w:t>
      </w:r>
      <w:r w:rsidRPr="15358D11">
        <w:rPr>
          <w:rFonts w:ascii="Times New Roman" w:eastAsia="Times New Roman" w:hAnsi="Times New Roman" w:cs="Times New Roman"/>
          <w:sz w:val="20"/>
          <w:szCs w:val="20"/>
        </w:rPr>
        <w:t xml:space="preserve"> and</w:t>
      </w:r>
      <w:r w:rsidRPr="15358D11">
        <w:rPr>
          <w:rFonts w:ascii="Times New Roman" w:eastAsia="Times New Roman" w:hAnsi="Times New Roman" w:cs="Times New Roman"/>
          <w:b/>
          <w:bCs/>
          <w:sz w:val="20"/>
          <w:szCs w:val="20"/>
        </w:rPr>
        <w:t xml:space="preserve"> j</w:t>
      </w:r>
      <w:r w:rsidRPr="15358D11">
        <w:rPr>
          <w:rFonts w:ascii="Times New Roman" w:eastAsia="Times New Roman" w:hAnsi="Times New Roman" w:cs="Times New Roman"/>
          <w:sz w:val="20"/>
          <w:szCs w:val="20"/>
        </w:rPr>
        <w:t>), TRNM-f*01</w:t>
      </w:r>
      <w:r>
        <w:rPr>
          <w:rFonts w:ascii="Times New Roman" w:eastAsia="Times New Roman" w:hAnsi="Times New Roman" w:cs="Times New Roman"/>
          <w:sz w:val="20"/>
          <w:szCs w:val="20"/>
        </w:rPr>
        <w:t>-</w:t>
      </w:r>
      <w:r w:rsidRPr="15358D11">
        <w:rPr>
          <w:rFonts w:ascii="Times New Roman" w:eastAsia="Times New Roman" w:hAnsi="Times New Roman" w:cs="Times New Roman"/>
          <w:sz w:val="20"/>
          <w:szCs w:val="20"/>
        </w:rPr>
        <w:t xml:space="preserve">bound asymmetric open (Conc-TRNM-f*01, </w:t>
      </w:r>
      <w:r w:rsidRPr="15358D11">
        <w:rPr>
          <w:rFonts w:ascii="Times New Roman" w:eastAsia="Times New Roman" w:hAnsi="Times New Roman" w:cs="Times New Roman"/>
          <w:b/>
          <w:bCs/>
          <w:sz w:val="20"/>
          <w:szCs w:val="20"/>
        </w:rPr>
        <w:t>k</w:t>
      </w:r>
      <w:r w:rsidRPr="15358D11">
        <w:rPr>
          <w:rFonts w:ascii="Times New Roman" w:eastAsia="Times New Roman" w:hAnsi="Times New Roman" w:cs="Times New Roman"/>
          <w:sz w:val="20"/>
          <w:szCs w:val="20"/>
        </w:rPr>
        <w:t xml:space="preserve">), BNM-III-170-bound asymmetric open (BG505-17b-BNM-III-170, </w:t>
      </w:r>
      <w:r w:rsidRPr="15358D11">
        <w:rPr>
          <w:rFonts w:ascii="Times New Roman" w:eastAsia="Times New Roman" w:hAnsi="Times New Roman" w:cs="Times New Roman"/>
          <w:b/>
          <w:bCs/>
          <w:sz w:val="20"/>
          <w:szCs w:val="20"/>
        </w:rPr>
        <w:t>m</w:t>
      </w:r>
      <w:r w:rsidRPr="15358D11">
        <w:rPr>
          <w:rFonts w:ascii="Times New Roman" w:eastAsia="Times New Roman" w:hAnsi="Times New Roman" w:cs="Times New Roman"/>
          <w:sz w:val="20"/>
          <w:szCs w:val="20"/>
        </w:rPr>
        <w:t xml:space="preserve">), M48U1-bound asymmetric open (BG505-17b-M48U1, </w:t>
      </w:r>
      <w:r w:rsidRPr="15358D11">
        <w:rPr>
          <w:rFonts w:ascii="Times New Roman" w:eastAsia="Times New Roman" w:hAnsi="Times New Roman" w:cs="Times New Roman"/>
          <w:b/>
          <w:bCs/>
          <w:sz w:val="20"/>
          <w:szCs w:val="20"/>
        </w:rPr>
        <w:t>n</w:t>
      </w:r>
      <w:r w:rsidRPr="15358D11">
        <w:rPr>
          <w:rFonts w:ascii="Times New Roman" w:eastAsia="Times New Roman" w:hAnsi="Times New Roman" w:cs="Times New Roman"/>
          <w:sz w:val="20"/>
          <w:szCs w:val="20"/>
        </w:rPr>
        <w:t xml:space="preserve">), Ab1303-bound asymmetric open (BG505-Ab1303, </w:t>
      </w:r>
      <w:r w:rsidRPr="15358D11">
        <w:rPr>
          <w:rFonts w:ascii="Times New Roman" w:eastAsia="Times New Roman" w:hAnsi="Times New Roman" w:cs="Times New Roman"/>
          <w:b/>
          <w:bCs/>
          <w:sz w:val="20"/>
          <w:szCs w:val="20"/>
        </w:rPr>
        <w:t>o</w:t>
      </w:r>
      <w:r w:rsidRPr="15358D11">
        <w:rPr>
          <w:rFonts w:ascii="Times New Roman" w:eastAsia="Times New Roman" w:hAnsi="Times New Roman" w:cs="Times New Roman"/>
          <w:sz w:val="20"/>
          <w:szCs w:val="20"/>
        </w:rPr>
        <w:t xml:space="preserve">), and Ab1573-bound asymmetric open (BG505-Ab1573, </w:t>
      </w:r>
      <w:r w:rsidRPr="15358D11">
        <w:rPr>
          <w:rFonts w:ascii="Times New Roman" w:eastAsia="Times New Roman" w:hAnsi="Times New Roman" w:cs="Times New Roman"/>
          <w:b/>
          <w:bCs/>
          <w:sz w:val="20"/>
          <w:szCs w:val="20"/>
        </w:rPr>
        <w:t>p</w:t>
      </w:r>
      <w:r w:rsidRPr="15358D11">
        <w:rPr>
          <w:rFonts w:ascii="Times New Roman" w:eastAsia="Times New Roman" w:hAnsi="Times New Roman" w:cs="Times New Roman"/>
          <w:sz w:val="20"/>
          <w:szCs w:val="20"/>
        </w:rPr>
        <w:t xml:space="preserve">) Env models. V1 and V2 loops are colored in green; V3 loop is colored in blue; gp120 is colored in light gray; gp41s is colored in gray. Fabs and CD4s are hidden for better visualization. Closed states are denoted with A, moderately open states are denoted with B, partially open states are denoted with C, fully open states are denoted with D, CD4-bound states are denoted with ’. Pro124 residues are not ordered in </w:t>
      </w:r>
      <w:r w:rsidRPr="15358D11">
        <w:rPr>
          <w:rFonts w:ascii="Times New Roman" w:eastAsia="Times New Roman" w:hAnsi="Times New Roman" w:cs="Times New Roman"/>
          <w:b/>
          <w:bCs/>
          <w:sz w:val="20"/>
          <w:szCs w:val="20"/>
        </w:rPr>
        <w:t>c</w:t>
      </w:r>
      <w:r w:rsidRPr="15358D11">
        <w:rPr>
          <w:rFonts w:ascii="Times New Roman" w:eastAsia="Times New Roman" w:hAnsi="Times New Roman" w:cs="Times New Roman"/>
          <w:sz w:val="20"/>
          <w:szCs w:val="20"/>
        </w:rPr>
        <w:t>.</w:t>
      </w:r>
    </w:p>
    <w:p w14:paraId="25D74794" w14:textId="77777777" w:rsidR="004212DE" w:rsidRDefault="004212DE" w:rsidP="004212DE">
      <w:r>
        <w:br w:type="page"/>
      </w:r>
    </w:p>
    <w:p w14:paraId="4EE1CF62" w14:textId="77777777" w:rsidR="004212DE" w:rsidRDefault="004212DE" w:rsidP="004212DE">
      <w:pPr>
        <w:rPr>
          <w:rFonts w:ascii="Times New Roman" w:eastAsia="Times New Roman" w:hAnsi="Times New Roman" w:cs="Times New Roman"/>
          <w:sz w:val="20"/>
          <w:szCs w:val="20"/>
        </w:rPr>
      </w:pPr>
      <w:r>
        <w:rPr>
          <w:noProof/>
        </w:rPr>
        <w:lastRenderedPageBreak/>
        <w:drawing>
          <wp:inline distT="0" distB="0" distL="0" distR="0" wp14:anchorId="47315492" wp14:editId="4A863E81">
            <wp:extent cx="5945231" cy="3044847"/>
            <wp:effectExtent l="0" t="0" r="0" b="0"/>
            <wp:docPr id="1041881038" name="drawing" descr="A collage of graph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881038" name="drawing" descr="A collage of graphs&#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5231" cy="3044847"/>
                    </a:xfrm>
                    <a:prstGeom prst="rect">
                      <a:avLst/>
                    </a:prstGeom>
                  </pic:spPr>
                </pic:pic>
              </a:graphicData>
            </a:graphic>
          </wp:inline>
        </w:drawing>
      </w:r>
      <w:r w:rsidRPr="5C363AD7">
        <w:rPr>
          <w:rFonts w:ascii="Times New Roman" w:eastAsia="Times New Roman" w:hAnsi="Times New Roman" w:cs="Times New Roman"/>
          <w:b/>
          <w:bCs/>
          <w:sz w:val="20"/>
          <w:szCs w:val="20"/>
        </w:rPr>
        <w:t>Extended Data Fig. 4 | Raw data of mass photometry experiments. a</w:t>
      </w:r>
      <w:r w:rsidRPr="5C363AD7">
        <w:rPr>
          <w:rFonts w:ascii="Times New Roman" w:eastAsia="Times New Roman" w:hAnsi="Times New Roman" w:cs="Times New Roman"/>
          <w:sz w:val="20"/>
          <w:szCs w:val="20"/>
        </w:rPr>
        <w:t>-</w:t>
      </w:r>
      <w:r w:rsidRPr="5C363AD7">
        <w:rPr>
          <w:rFonts w:ascii="Times New Roman" w:eastAsia="Times New Roman" w:hAnsi="Times New Roman" w:cs="Times New Roman"/>
          <w:b/>
          <w:bCs/>
          <w:sz w:val="20"/>
          <w:szCs w:val="20"/>
        </w:rPr>
        <w:t>f</w:t>
      </w:r>
      <w:r w:rsidRPr="5C363AD7">
        <w:rPr>
          <w:rFonts w:ascii="Times New Roman" w:eastAsia="Times New Roman" w:hAnsi="Times New Roman" w:cs="Times New Roman"/>
          <w:sz w:val="20"/>
          <w:szCs w:val="20"/>
        </w:rPr>
        <w:t xml:space="preserve"> Mass histograms of AMC008 SOSIP.v4.2 (</w:t>
      </w:r>
      <w:r w:rsidRPr="5C363AD7">
        <w:rPr>
          <w:rFonts w:ascii="Times New Roman" w:eastAsia="Times New Roman" w:hAnsi="Times New Roman" w:cs="Times New Roman"/>
          <w:b/>
          <w:bCs/>
          <w:sz w:val="20"/>
          <w:szCs w:val="20"/>
        </w:rPr>
        <w:t>a</w:t>
      </w:r>
      <w:r w:rsidRPr="5C363AD7">
        <w:rPr>
          <w:rFonts w:ascii="Times New Roman" w:eastAsia="Times New Roman" w:hAnsi="Times New Roman" w:cs="Times New Roman"/>
          <w:sz w:val="20"/>
          <w:szCs w:val="20"/>
        </w:rPr>
        <w:t>) and AMC008 in complex with excess b12 (</w:t>
      </w:r>
      <w:r w:rsidRPr="5C363AD7">
        <w:rPr>
          <w:rFonts w:ascii="Times New Roman" w:eastAsia="Times New Roman" w:hAnsi="Times New Roman" w:cs="Times New Roman"/>
          <w:b/>
          <w:bCs/>
          <w:sz w:val="20"/>
          <w:szCs w:val="20"/>
        </w:rPr>
        <w:t>b</w:t>
      </w:r>
      <w:r w:rsidRPr="5C363AD7">
        <w:rPr>
          <w:rFonts w:ascii="Times New Roman" w:eastAsia="Times New Roman" w:hAnsi="Times New Roman" w:cs="Times New Roman"/>
          <w:sz w:val="20"/>
          <w:szCs w:val="20"/>
        </w:rPr>
        <w:t>), 3BC315 (</w:t>
      </w:r>
      <w:r w:rsidRPr="5C363AD7">
        <w:rPr>
          <w:rFonts w:ascii="Times New Roman" w:eastAsia="Times New Roman" w:hAnsi="Times New Roman" w:cs="Times New Roman"/>
          <w:b/>
          <w:bCs/>
          <w:sz w:val="20"/>
          <w:szCs w:val="20"/>
        </w:rPr>
        <w:t>c</w:t>
      </w:r>
      <w:r w:rsidRPr="5C363AD7">
        <w:rPr>
          <w:rFonts w:ascii="Times New Roman" w:eastAsia="Times New Roman" w:hAnsi="Times New Roman" w:cs="Times New Roman"/>
          <w:sz w:val="20"/>
          <w:szCs w:val="20"/>
        </w:rPr>
        <w:t>), b12 and 3BC315 (</w:t>
      </w:r>
      <w:r w:rsidRPr="5C363AD7">
        <w:rPr>
          <w:rFonts w:ascii="Times New Roman" w:eastAsia="Times New Roman" w:hAnsi="Times New Roman" w:cs="Times New Roman"/>
          <w:b/>
          <w:bCs/>
          <w:sz w:val="20"/>
          <w:szCs w:val="20"/>
        </w:rPr>
        <w:t>d</w:t>
      </w:r>
      <w:r w:rsidRPr="5C363AD7">
        <w:rPr>
          <w:rFonts w:ascii="Times New Roman" w:eastAsia="Times New Roman" w:hAnsi="Times New Roman" w:cs="Times New Roman"/>
          <w:sz w:val="20"/>
          <w:szCs w:val="20"/>
        </w:rPr>
        <w:t>), VRC01 (</w:t>
      </w:r>
      <w:r w:rsidRPr="5C363AD7">
        <w:rPr>
          <w:rFonts w:ascii="Times New Roman" w:eastAsia="Times New Roman" w:hAnsi="Times New Roman" w:cs="Times New Roman"/>
          <w:b/>
          <w:bCs/>
          <w:sz w:val="20"/>
          <w:szCs w:val="20"/>
        </w:rPr>
        <w:t>e</w:t>
      </w:r>
      <w:r w:rsidRPr="5C363AD7">
        <w:rPr>
          <w:rFonts w:ascii="Times New Roman" w:eastAsia="Times New Roman" w:hAnsi="Times New Roman" w:cs="Times New Roman"/>
          <w:sz w:val="20"/>
          <w:szCs w:val="20"/>
        </w:rPr>
        <w:t>), VRC01 and 3BC315 (</w:t>
      </w:r>
      <w:r w:rsidRPr="5C363AD7">
        <w:rPr>
          <w:rFonts w:ascii="Times New Roman" w:eastAsia="Times New Roman" w:hAnsi="Times New Roman" w:cs="Times New Roman"/>
          <w:b/>
          <w:bCs/>
          <w:sz w:val="20"/>
          <w:szCs w:val="20"/>
        </w:rPr>
        <w:t>f</w:t>
      </w:r>
      <w:r w:rsidRPr="5C363AD7">
        <w:rPr>
          <w:rFonts w:ascii="Times New Roman" w:eastAsia="Times New Roman" w:hAnsi="Times New Roman" w:cs="Times New Roman"/>
          <w:sz w:val="20"/>
          <w:szCs w:val="20"/>
        </w:rPr>
        <w:t>).</w:t>
      </w:r>
    </w:p>
    <w:p w14:paraId="47DDBB8B" w14:textId="77777777" w:rsidR="004212DE" w:rsidRDefault="004212DE" w:rsidP="004212DE">
      <w:r>
        <w:br w:type="page"/>
      </w:r>
    </w:p>
    <w:p w14:paraId="20708E47" w14:textId="77777777" w:rsidR="004212DE" w:rsidRDefault="004212DE" w:rsidP="004212DE">
      <w:pPr>
        <w:jc w:val="center"/>
      </w:pPr>
      <w:r>
        <w:rPr>
          <w:noProof/>
        </w:rPr>
        <w:lastRenderedPageBreak/>
        <w:drawing>
          <wp:inline distT="0" distB="0" distL="0" distR="0" wp14:anchorId="1B18B00F" wp14:editId="1D26F715">
            <wp:extent cx="5000625" cy="5943600"/>
            <wp:effectExtent l="0" t="0" r="0" b="0"/>
            <wp:docPr id="2065602789" name="drawing"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5602789" name="drawing" descr="A screenshot of a computer screen&#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5000625" cy="5943600"/>
                    </a:xfrm>
                    <a:prstGeom prst="rect">
                      <a:avLst/>
                    </a:prstGeom>
                  </pic:spPr>
                </pic:pic>
              </a:graphicData>
            </a:graphic>
          </wp:inline>
        </w:drawing>
      </w:r>
    </w:p>
    <w:p w14:paraId="190EF7E9" w14:textId="77777777" w:rsidR="004212DE" w:rsidRDefault="004212DE" w:rsidP="004212DE">
      <w:pPr>
        <w:rPr>
          <w:rFonts w:ascii="Times New Roman" w:eastAsia="Times New Roman" w:hAnsi="Times New Roman" w:cs="Times New Roman"/>
          <w:color w:val="000000" w:themeColor="text1"/>
          <w:sz w:val="19"/>
          <w:szCs w:val="19"/>
        </w:rPr>
      </w:pPr>
      <w:r w:rsidRPr="235BF495">
        <w:rPr>
          <w:rFonts w:ascii="Times New Roman" w:eastAsia="Times New Roman" w:hAnsi="Times New Roman" w:cs="Times New Roman"/>
          <w:b/>
          <w:bCs/>
          <w:sz w:val="20"/>
          <w:szCs w:val="20"/>
        </w:rPr>
        <w:t>Extended Data Fig. 5 | Cryo-EM data processing scheme Ι.</w:t>
      </w:r>
      <w:r w:rsidRPr="235BF495">
        <w:rPr>
          <w:rFonts w:ascii="Times New Roman" w:eastAsia="Times New Roman" w:hAnsi="Times New Roman" w:cs="Times New Roman"/>
          <w:sz w:val="20"/>
          <w:szCs w:val="20"/>
        </w:rPr>
        <w:t xml:space="preserve"> </w:t>
      </w:r>
      <w:r w:rsidRPr="235BF495">
        <w:rPr>
          <w:rFonts w:ascii="Times New Roman" w:eastAsia="Times New Roman" w:hAnsi="Times New Roman" w:cs="Times New Roman"/>
          <w:b/>
          <w:bCs/>
          <w:sz w:val="20"/>
          <w:szCs w:val="20"/>
        </w:rPr>
        <w:t>a</w:t>
      </w:r>
      <w:r w:rsidRPr="235BF495">
        <w:rPr>
          <w:rFonts w:ascii="Times New Roman" w:eastAsia="Times New Roman" w:hAnsi="Times New Roman" w:cs="Times New Roman"/>
          <w:sz w:val="20"/>
          <w:szCs w:val="20"/>
        </w:rPr>
        <w:t xml:space="preserve"> General cryo-EM data processing scheme to generate consensus maps in this study. Final cryo-EM density maps AMC008 in complex with (</w:t>
      </w:r>
      <w:r w:rsidRPr="235BF495">
        <w:rPr>
          <w:rFonts w:ascii="Times New Roman" w:eastAsia="Times New Roman" w:hAnsi="Times New Roman" w:cs="Times New Roman"/>
          <w:b/>
          <w:bCs/>
          <w:sz w:val="20"/>
          <w:szCs w:val="20"/>
        </w:rPr>
        <w:t>b</w:t>
      </w:r>
      <w:r w:rsidRPr="235BF495">
        <w:rPr>
          <w:rFonts w:ascii="Times New Roman" w:eastAsia="Times New Roman" w:hAnsi="Times New Roman" w:cs="Times New Roman"/>
          <w:sz w:val="20"/>
          <w:szCs w:val="20"/>
        </w:rPr>
        <w:t>) b12, and (</w:t>
      </w:r>
      <w:r w:rsidRPr="235BF495">
        <w:rPr>
          <w:rFonts w:ascii="Times New Roman" w:eastAsia="Times New Roman" w:hAnsi="Times New Roman" w:cs="Times New Roman"/>
          <w:b/>
          <w:bCs/>
          <w:sz w:val="20"/>
          <w:szCs w:val="20"/>
        </w:rPr>
        <w:t>c</w:t>
      </w:r>
      <w:r w:rsidRPr="235BF495">
        <w:rPr>
          <w:rFonts w:ascii="Times New Roman" w:eastAsia="Times New Roman" w:hAnsi="Times New Roman" w:cs="Times New Roman"/>
          <w:sz w:val="20"/>
          <w:szCs w:val="20"/>
        </w:rPr>
        <w:t>) b12 and 3BC315 along with their GS-FSC curve, resolution and particle distribution plot.</w:t>
      </w:r>
      <w:r w:rsidRPr="235BF495">
        <w:rPr>
          <w:rFonts w:ascii="Times New Roman" w:eastAsia="Times New Roman" w:hAnsi="Times New Roman" w:cs="Times New Roman"/>
          <w:b/>
          <w:bCs/>
          <w:sz w:val="20"/>
          <w:szCs w:val="20"/>
        </w:rPr>
        <w:t xml:space="preserve"> d </w:t>
      </w:r>
      <w:r w:rsidRPr="235BF495">
        <w:rPr>
          <w:rFonts w:ascii="Times New Roman" w:eastAsia="Times New Roman" w:hAnsi="Times New Roman" w:cs="Times New Roman"/>
          <w:sz w:val="20"/>
          <w:szCs w:val="20"/>
        </w:rPr>
        <w:t xml:space="preserve">Additional Cryo-EM data processing for AMC008 in complex with PGT121, VRC01, and 3BC315. Particles used for the reconstruction of the consensus map were 3D classified focused on the 3BC315 binding site. </w:t>
      </w:r>
      <w:r w:rsidRPr="235BF495">
        <w:rPr>
          <w:rFonts w:ascii="Times New Roman" w:eastAsia="Times New Roman" w:hAnsi="Times New Roman" w:cs="Times New Roman"/>
          <w:color w:val="000000" w:themeColor="text1"/>
          <w:sz w:val="19"/>
          <w:szCs w:val="19"/>
        </w:rPr>
        <w:t>Classes that have 3BC315 binding were combined and used for Non-Uniform Refinement.</w:t>
      </w:r>
      <w:r w:rsidRPr="235BF495">
        <w:rPr>
          <w:rFonts w:ascii="Times New Roman" w:eastAsia="Times New Roman" w:hAnsi="Times New Roman" w:cs="Times New Roman"/>
          <w:sz w:val="20"/>
          <w:szCs w:val="20"/>
        </w:rPr>
        <w:t xml:space="preserve"> </w:t>
      </w:r>
      <w:r w:rsidRPr="235BF495">
        <w:rPr>
          <w:rFonts w:ascii="Times New Roman" w:eastAsia="Times New Roman" w:hAnsi="Times New Roman" w:cs="Times New Roman"/>
          <w:b/>
          <w:bCs/>
          <w:sz w:val="20"/>
          <w:szCs w:val="20"/>
        </w:rPr>
        <w:t>e</w:t>
      </w:r>
      <w:r w:rsidRPr="235BF495">
        <w:rPr>
          <w:rFonts w:ascii="Times New Roman" w:eastAsia="Times New Roman" w:hAnsi="Times New Roman" w:cs="Times New Roman"/>
          <w:sz w:val="20"/>
          <w:szCs w:val="20"/>
        </w:rPr>
        <w:t xml:space="preserve"> Additional Cryo-EM data processing for AMC008 in complex with CD4.</w:t>
      </w:r>
    </w:p>
    <w:p w14:paraId="6E496F5F" w14:textId="77777777" w:rsidR="004212DE" w:rsidRDefault="004212DE" w:rsidP="004212DE">
      <w:r>
        <w:br w:type="page"/>
      </w:r>
    </w:p>
    <w:p w14:paraId="12428587" w14:textId="77777777" w:rsidR="004212DE" w:rsidRDefault="004212DE" w:rsidP="004212DE">
      <w:pPr>
        <w:rPr>
          <w:rFonts w:ascii="Times New Roman" w:eastAsia="Times New Roman" w:hAnsi="Times New Roman" w:cs="Times New Roman"/>
          <w:sz w:val="20"/>
          <w:szCs w:val="20"/>
        </w:rPr>
      </w:pPr>
      <w:r>
        <w:rPr>
          <w:noProof/>
        </w:rPr>
        <w:lastRenderedPageBreak/>
        <w:drawing>
          <wp:inline distT="0" distB="0" distL="0" distR="0" wp14:anchorId="7AE1ACFA" wp14:editId="3EB5F68B">
            <wp:extent cx="5943600" cy="5105400"/>
            <wp:effectExtent l="0" t="0" r="0" b="0"/>
            <wp:docPr id="962387418" name="drawing" descr="A diagram of a variety of colored shap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387418" name="drawing" descr="A diagram of a variety of colored shapes&#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5105400"/>
                    </a:xfrm>
                    <a:prstGeom prst="rect">
                      <a:avLst/>
                    </a:prstGeom>
                  </pic:spPr>
                </pic:pic>
              </a:graphicData>
            </a:graphic>
          </wp:inline>
        </w:drawing>
      </w:r>
      <w:r w:rsidRPr="5C363AD7">
        <w:rPr>
          <w:rFonts w:ascii="Times New Roman" w:eastAsia="Times New Roman" w:hAnsi="Times New Roman" w:cs="Times New Roman"/>
          <w:b/>
          <w:bCs/>
          <w:sz w:val="20"/>
          <w:szCs w:val="20"/>
        </w:rPr>
        <w:t xml:space="preserve">Extended Data Fig. 6 | Cryo-EM data processing scheme ΙI. a </w:t>
      </w:r>
      <w:r w:rsidRPr="5C363AD7">
        <w:rPr>
          <w:rFonts w:ascii="Times New Roman" w:eastAsia="Times New Roman" w:hAnsi="Times New Roman" w:cs="Times New Roman"/>
          <w:sz w:val="20"/>
          <w:szCs w:val="20"/>
        </w:rPr>
        <w:t xml:space="preserve">Additional Cryo-EM data processing for AMC008 in complex with VRC01 and 35O22. Simulated maps generated using ChimeraX were used as templates for Heterogeneous refinement using particles from the consensus map of AMC008/VRC01/35O22. Classes with two and three 35O22 occupancy were combined and used for Non-Uniform Refinement with C3 symmetry. </w:t>
      </w:r>
      <w:r w:rsidRPr="5C363AD7">
        <w:rPr>
          <w:rFonts w:ascii="Times New Roman" w:eastAsia="Times New Roman" w:hAnsi="Times New Roman" w:cs="Times New Roman"/>
          <w:b/>
          <w:bCs/>
          <w:sz w:val="20"/>
          <w:szCs w:val="20"/>
        </w:rPr>
        <w:t>b</w:t>
      </w:r>
      <w:r w:rsidRPr="5C363AD7">
        <w:rPr>
          <w:rFonts w:ascii="Times New Roman" w:eastAsia="Times New Roman" w:hAnsi="Times New Roman" w:cs="Times New Roman"/>
          <w:sz w:val="20"/>
          <w:szCs w:val="20"/>
        </w:rPr>
        <w:t xml:space="preserve"> Additional Cryo-EM data processing for AMC008 in complex with 3BC315. Particles used for the reconstruction of the consensus map were 3D classified followed by </w:t>
      </w:r>
      <w:r>
        <w:rPr>
          <w:rFonts w:ascii="Times New Roman" w:eastAsia="Times New Roman" w:hAnsi="Times New Roman" w:cs="Times New Roman"/>
          <w:sz w:val="20"/>
          <w:szCs w:val="20"/>
        </w:rPr>
        <w:t>N</w:t>
      </w:r>
      <w:r w:rsidRPr="5C363AD7">
        <w:rPr>
          <w:rFonts w:ascii="Times New Roman" w:eastAsia="Times New Roman" w:hAnsi="Times New Roman" w:cs="Times New Roman"/>
          <w:sz w:val="20"/>
          <w:szCs w:val="20"/>
        </w:rPr>
        <w:t>on-</w:t>
      </w:r>
      <w:r>
        <w:rPr>
          <w:rFonts w:ascii="Times New Roman" w:eastAsia="Times New Roman" w:hAnsi="Times New Roman" w:cs="Times New Roman"/>
          <w:sz w:val="20"/>
          <w:szCs w:val="20"/>
        </w:rPr>
        <w:t>U</w:t>
      </w:r>
      <w:r w:rsidRPr="5C363AD7">
        <w:rPr>
          <w:rFonts w:ascii="Times New Roman" w:eastAsia="Times New Roman" w:hAnsi="Times New Roman" w:cs="Times New Roman"/>
          <w:sz w:val="20"/>
          <w:szCs w:val="20"/>
        </w:rPr>
        <w:t xml:space="preserve">niform </w:t>
      </w:r>
      <w:r>
        <w:rPr>
          <w:rFonts w:ascii="Times New Roman" w:eastAsia="Times New Roman" w:hAnsi="Times New Roman" w:cs="Times New Roman"/>
          <w:sz w:val="20"/>
          <w:szCs w:val="20"/>
        </w:rPr>
        <w:t>R</w:t>
      </w:r>
      <w:r w:rsidRPr="5C363AD7">
        <w:rPr>
          <w:rFonts w:ascii="Times New Roman" w:eastAsia="Times New Roman" w:hAnsi="Times New Roman" w:cs="Times New Roman"/>
          <w:sz w:val="20"/>
          <w:szCs w:val="20"/>
        </w:rPr>
        <w:t>efinement to generate AMC008 Envs occupied with one 3BC315 and two 3BC315.</w:t>
      </w:r>
    </w:p>
    <w:p w14:paraId="1D0942D1" w14:textId="77777777" w:rsidR="004212DE" w:rsidRDefault="004212DE" w:rsidP="004212DE">
      <w:r>
        <w:br w:type="page"/>
      </w:r>
    </w:p>
    <w:p w14:paraId="07551D4D" w14:textId="77777777" w:rsidR="004212DE" w:rsidRDefault="004212DE" w:rsidP="004212DE">
      <w:pPr>
        <w:jc w:val="center"/>
      </w:pPr>
      <w:r>
        <w:rPr>
          <w:noProof/>
          <w14:ligatures w14:val="standardContextual"/>
        </w:rPr>
        <w:lastRenderedPageBreak/>
        <w:drawing>
          <wp:inline distT="0" distB="0" distL="0" distR="0" wp14:anchorId="65C018EC" wp14:editId="5AA79A89">
            <wp:extent cx="5753100" cy="4470400"/>
            <wp:effectExtent l="0" t="0" r="0" b="0"/>
            <wp:docPr id="863645509"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3645509" name="Picture 1" descr="A screenshot of a computer&#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53100" cy="4470400"/>
                    </a:xfrm>
                    <a:prstGeom prst="rect">
                      <a:avLst/>
                    </a:prstGeom>
                  </pic:spPr>
                </pic:pic>
              </a:graphicData>
            </a:graphic>
          </wp:inline>
        </w:drawing>
      </w:r>
    </w:p>
    <w:p w14:paraId="6751D07D" w14:textId="77777777" w:rsidR="004212DE" w:rsidRDefault="004212DE" w:rsidP="004212DE">
      <w:pPr>
        <w:rPr>
          <w:rFonts w:ascii="Times New Roman" w:eastAsia="Times New Roman" w:hAnsi="Times New Roman" w:cs="Times New Roman"/>
          <w:sz w:val="20"/>
          <w:szCs w:val="20"/>
        </w:rPr>
      </w:pPr>
      <w:r w:rsidRPr="235BF495">
        <w:rPr>
          <w:rFonts w:ascii="Times New Roman" w:eastAsia="Times New Roman" w:hAnsi="Times New Roman" w:cs="Times New Roman"/>
          <w:b/>
          <w:bCs/>
          <w:sz w:val="20"/>
          <w:szCs w:val="20"/>
        </w:rPr>
        <w:t xml:space="preserve">Extended Data Table 1 | Summary of </w:t>
      </w:r>
      <w:r>
        <w:rPr>
          <w:rFonts w:ascii="Times New Roman" w:eastAsia="Times New Roman" w:hAnsi="Times New Roman" w:cs="Times New Roman"/>
          <w:b/>
          <w:bCs/>
          <w:sz w:val="20"/>
          <w:szCs w:val="20"/>
        </w:rPr>
        <w:t xml:space="preserve">non-AAA </w:t>
      </w:r>
      <w:r w:rsidRPr="235BF495">
        <w:rPr>
          <w:rFonts w:ascii="Times New Roman" w:eastAsia="Times New Roman" w:hAnsi="Times New Roman" w:cs="Times New Roman"/>
          <w:b/>
          <w:bCs/>
          <w:sz w:val="20"/>
          <w:szCs w:val="20"/>
        </w:rPr>
        <w:t xml:space="preserve">Env </w:t>
      </w:r>
      <w:r>
        <w:rPr>
          <w:rFonts w:ascii="Times New Roman" w:eastAsia="Times New Roman" w:hAnsi="Times New Roman" w:cs="Times New Roman"/>
          <w:b/>
          <w:bCs/>
          <w:sz w:val="20"/>
          <w:szCs w:val="20"/>
        </w:rPr>
        <w:t xml:space="preserve">structures </w:t>
      </w:r>
      <w:r w:rsidRPr="235BF495">
        <w:rPr>
          <w:rFonts w:ascii="Times New Roman" w:eastAsia="Times New Roman" w:hAnsi="Times New Roman" w:cs="Times New Roman"/>
          <w:b/>
          <w:bCs/>
          <w:sz w:val="20"/>
          <w:szCs w:val="20"/>
        </w:rPr>
        <w:t xml:space="preserve">classified by protomeric states in </w:t>
      </w:r>
      <w:r>
        <w:rPr>
          <w:rFonts w:ascii="Times New Roman" w:eastAsia="Times New Roman" w:hAnsi="Times New Roman" w:cs="Times New Roman"/>
          <w:b/>
          <w:bCs/>
          <w:sz w:val="20"/>
          <w:szCs w:val="20"/>
        </w:rPr>
        <w:t xml:space="preserve">the </w:t>
      </w:r>
      <w:r w:rsidRPr="235BF495">
        <w:rPr>
          <w:rFonts w:ascii="Times New Roman" w:eastAsia="Times New Roman" w:hAnsi="Times New Roman" w:cs="Times New Roman"/>
          <w:b/>
          <w:bCs/>
          <w:sz w:val="20"/>
          <w:szCs w:val="20"/>
        </w:rPr>
        <w:t xml:space="preserve">PDB database. </w:t>
      </w:r>
      <w:r w:rsidRPr="235BF495">
        <w:rPr>
          <w:rFonts w:ascii="Times New Roman" w:eastAsia="Times New Roman" w:hAnsi="Times New Roman" w:cs="Times New Roman"/>
          <w:sz w:val="20"/>
          <w:szCs w:val="20"/>
        </w:rPr>
        <w:t>A, B, C,</w:t>
      </w:r>
      <w:r w:rsidRPr="19E2DAB6">
        <w:rPr>
          <w:rFonts w:ascii="Times New Roman" w:eastAsia="Times New Roman" w:hAnsi="Times New Roman" w:cs="Times New Roman"/>
          <w:sz w:val="20"/>
          <w:szCs w:val="20"/>
        </w:rPr>
        <w:t xml:space="preserve"> and</w:t>
      </w:r>
      <w:r w:rsidRPr="235BF495">
        <w:rPr>
          <w:rFonts w:ascii="Times New Roman" w:eastAsia="Times New Roman" w:hAnsi="Times New Roman" w:cs="Times New Roman"/>
          <w:sz w:val="20"/>
          <w:szCs w:val="20"/>
        </w:rPr>
        <w:t xml:space="preserve"> D denote closed, moderately open, partially open, and fully open states. CD4-bound states are denoted with ’, base-relaxed states are denoted with BR.</w:t>
      </w:r>
      <w:r w:rsidRPr="19E2DAB6">
        <w:rPr>
          <w:rFonts w:ascii="Times New Roman" w:eastAsia="Times New Roman" w:hAnsi="Times New Roman" w:cs="Times New Roman"/>
          <w:sz w:val="20"/>
          <w:szCs w:val="20"/>
        </w:rPr>
        <w:t xml:space="preserve"> Fusion peptide conformations in BG505-CD4-VRC34.01 (states B’B’C’ and B’C’C’) and BG505-CD4-VRC34.01-17b (state C’C’C’) are remodeled by the binding of fusion peptide targeting antibody VRC34.01. Thus, the gp41 conformation of these complexes does not align with our model, but the gp120 openness, V1V2 displacement, formation of 4-stranded bridging sheet and α0 helix agree with states B’B’C’, B’C’C’, and C’C’C’.</w:t>
      </w:r>
    </w:p>
    <w:p w14:paraId="48B82A1F" w14:textId="77777777" w:rsidR="004212DE" w:rsidRDefault="004212DE" w:rsidP="004212DE">
      <w:r>
        <w:br w:type="page"/>
      </w:r>
    </w:p>
    <w:p w14:paraId="5C34B184" w14:textId="77777777" w:rsidR="004212DE" w:rsidRDefault="004212DE" w:rsidP="004212DE">
      <w:pPr>
        <w:jc w:val="center"/>
      </w:pPr>
      <w:r>
        <w:rPr>
          <w:noProof/>
        </w:rPr>
        <w:lastRenderedPageBreak/>
        <w:drawing>
          <wp:inline distT="0" distB="0" distL="0" distR="0" wp14:anchorId="43193807" wp14:editId="39874B58">
            <wp:extent cx="5905543" cy="3787803"/>
            <wp:effectExtent l="0" t="0" r="0" b="0"/>
            <wp:docPr id="1339768816" name="drawing" descr="A black and white screen with grey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9768816" name="drawing" descr="A black and white screen with grey squares&#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05543" cy="3787803"/>
                    </a:xfrm>
                    <a:prstGeom prst="rect">
                      <a:avLst/>
                    </a:prstGeom>
                  </pic:spPr>
                </pic:pic>
              </a:graphicData>
            </a:graphic>
          </wp:inline>
        </w:drawing>
      </w:r>
    </w:p>
    <w:p w14:paraId="6C8AEF04" w14:textId="77777777" w:rsidR="004212DE" w:rsidRDefault="004212DE" w:rsidP="004212DE">
      <w:pPr>
        <w:rPr>
          <w:rFonts w:ascii="Times New Roman" w:eastAsia="Times New Roman" w:hAnsi="Times New Roman" w:cs="Times New Roman"/>
          <w:b/>
          <w:bCs/>
          <w:sz w:val="20"/>
          <w:szCs w:val="20"/>
        </w:rPr>
      </w:pPr>
      <w:r w:rsidRPr="5C0E9AE0">
        <w:rPr>
          <w:rFonts w:ascii="Times New Roman" w:eastAsia="Times New Roman" w:hAnsi="Times New Roman" w:cs="Times New Roman"/>
          <w:b/>
          <w:bCs/>
          <w:sz w:val="20"/>
          <w:szCs w:val="20"/>
        </w:rPr>
        <w:t>Extended Data Table 2 | Cryo-EM data collection, model refinement and validation statistics.</w:t>
      </w:r>
    </w:p>
    <w:p w14:paraId="29005308" w14:textId="77777777" w:rsidR="004212DE" w:rsidRDefault="004212DE" w:rsidP="004212DE">
      <w:pPr>
        <w:rPr>
          <w:rFonts w:ascii="Times New Roman" w:eastAsia="Times New Roman" w:hAnsi="Times New Roman" w:cs="Times New Roman"/>
          <w:b/>
          <w:bCs/>
          <w:sz w:val="20"/>
          <w:szCs w:val="20"/>
        </w:rPr>
      </w:pPr>
    </w:p>
    <w:p w14:paraId="0C7E2703" w14:textId="77777777" w:rsidR="004212DE" w:rsidRDefault="004212DE" w:rsidP="004212DE">
      <w:pPr>
        <w:rPr>
          <w:rFonts w:ascii="Times New Roman" w:eastAsia="Times New Roman" w:hAnsi="Times New Roman" w:cs="Times New Roman"/>
          <w:sz w:val="20"/>
          <w:szCs w:val="20"/>
        </w:rPr>
      </w:pPr>
      <w:r>
        <w:rPr>
          <w:rFonts w:ascii="Times New Roman" w:eastAsia="Times New Roman" w:hAnsi="Times New Roman" w:cs="Times New Roman"/>
          <w:b/>
          <w:bCs/>
          <w:sz w:val="20"/>
          <w:szCs w:val="20"/>
        </w:rPr>
        <w:t>Movie</w:t>
      </w:r>
      <w:r w:rsidRPr="5C363AD7">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1</w:t>
      </w:r>
      <w:r w:rsidRPr="5C363AD7">
        <w:rPr>
          <w:rFonts w:ascii="Times New Roman" w:eastAsia="Times New Roman" w:hAnsi="Times New Roman" w:cs="Times New Roman"/>
          <w:b/>
          <w:bCs/>
          <w:sz w:val="20"/>
          <w:szCs w:val="20"/>
        </w:rPr>
        <w:t xml:space="preserve"> | </w:t>
      </w:r>
      <w:r>
        <w:rPr>
          <w:rFonts w:ascii="Times New Roman" w:eastAsia="Times New Roman" w:hAnsi="Times New Roman" w:cs="Times New Roman"/>
          <w:b/>
          <w:bCs/>
          <w:sz w:val="20"/>
          <w:szCs w:val="20"/>
        </w:rPr>
        <w:t>Direct Conformational Change from Occluded Closed to Occluded Open Env leads to V2 clashes</w:t>
      </w:r>
      <w:r w:rsidRPr="5C363AD7">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 xml:space="preserve"> </w:t>
      </w:r>
      <w:r w:rsidRPr="0059163D">
        <w:rPr>
          <w:rFonts w:ascii="Times New Roman" w:eastAsia="Times New Roman" w:hAnsi="Times New Roman" w:cs="Times New Roman"/>
          <w:sz w:val="20"/>
          <w:szCs w:val="20"/>
        </w:rPr>
        <w:t xml:space="preserve">Linear </w:t>
      </w:r>
      <w:r>
        <w:rPr>
          <w:rFonts w:ascii="Times New Roman" w:eastAsia="Times New Roman" w:hAnsi="Times New Roman" w:cs="Times New Roman"/>
          <w:sz w:val="20"/>
          <w:szCs w:val="20"/>
        </w:rPr>
        <w:t xml:space="preserve">conformational </w:t>
      </w:r>
      <w:r w:rsidRPr="0059163D">
        <w:rPr>
          <w:rFonts w:ascii="Times New Roman" w:eastAsia="Times New Roman" w:hAnsi="Times New Roman" w:cs="Times New Roman"/>
          <w:sz w:val="20"/>
          <w:szCs w:val="20"/>
        </w:rPr>
        <w:t>interpolation from</w:t>
      </w:r>
      <w:r>
        <w:rPr>
          <w:rFonts w:ascii="Times New Roman" w:eastAsia="Times New Roman" w:hAnsi="Times New Roman" w:cs="Times New Roman"/>
          <w:b/>
          <w:bCs/>
          <w:sz w:val="20"/>
          <w:szCs w:val="20"/>
        </w:rPr>
        <w:t xml:space="preserve"> </w:t>
      </w:r>
      <w:r>
        <w:rPr>
          <w:rFonts w:ascii="Times New Roman" w:eastAsia="Times New Roman" w:hAnsi="Times New Roman" w:cs="Times New Roman"/>
          <w:sz w:val="20"/>
          <w:szCs w:val="20"/>
        </w:rPr>
        <w:t>our closed state AAA Env (AMC008-VRC01-35O22) to our open state CDD Env (AMC008-b12-3BC315) reveals massive steric clashes between amino acid positions 163-168 (chartreuse) of the V2 region (otherwise red). gp120 is shown in light gray and gp41 in slate gray.</w:t>
      </w:r>
    </w:p>
    <w:p w14:paraId="5EAB4E0B" w14:textId="77777777" w:rsidR="004212DE" w:rsidRDefault="004212DE" w:rsidP="004212DE">
      <w:pPr>
        <w:rPr>
          <w:rFonts w:ascii="Times New Roman" w:eastAsia="Times New Roman" w:hAnsi="Times New Roman" w:cs="Times New Roman"/>
          <w:sz w:val="20"/>
          <w:szCs w:val="20"/>
        </w:rPr>
      </w:pPr>
    </w:p>
    <w:p w14:paraId="6CDDDF6C" w14:textId="77777777" w:rsidR="004212DE" w:rsidRDefault="004212DE" w:rsidP="004212DE">
      <w:pPr>
        <w:rPr>
          <w:rFonts w:ascii="Times New Roman" w:eastAsia="Times New Roman" w:hAnsi="Times New Roman" w:cs="Times New Roman"/>
          <w:sz w:val="20"/>
          <w:szCs w:val="20"/>
        </w:rPr>
      </w:pPr>
      <w:r>
        <w:rPr>
          <w:rFonts w:ascii="Times New Roman" w:eastAsia="Times New Roman" w:hAnsi="Times New Roman" w:cs="Times New Roman"/>
          <w:b/>
          <w:bCs/>
          <w:sz w:val="20"/>
          <w:szCs w:val="20"/>
        </w:rPr>
        <w:t>Movie</w:t>
      </w:r>
      <w:r w:rsidRPr="5C363AD7">
        <w:rPr>
          <w:rFonts w:ascii="Times New Roman" w:eastAsia="Times New Roman" w:hAnsi="Times New Roman" w:cs="Times New Roman"/>
          <w:b/>
          <w:bCs/>
          <w:sz w:val="20"/>
          <w:szCs w:val="20"/>
        </w:rPr>
        <w:t xml:space="preserve"> </w:t>
      </w:r>
      <w:r>
        <w:rPr>
          <w:rFonts w:ascii="Times New Roman" w:eastAsia="Times New Roman" w:hAnsi="Times New Roman" w:cs="Times New Roman"/>
          <w:b/>
          <w:bCs/>
          <w:sz w:val="20"/>
          <w:szCs w:val="20"/>
        </w:rPr>
        <w:t>2</w:t>
      </w:r>
      <w:r w:rsidRPr="5C363AD7">
        <w:rPr>
          <w:rFonts w:ascii="Times New Roman" w:eastAsia="Times New Roman" w:hAnsi="Times New Roman" w:cs="Times New Roman"/>
          <w:b/>
          <w:bCs/>
          <w:sz w:val="20"/>
          <w:szCs w:val="20"/>
        </w:rPr>
        <w:t xml:space="preserve"> | </w:t>
      </w:r>
      <w:r>
        <w:rPr>
          <w:rFonts w:ascii="Times New Roman" w:eastAsia="Times New Roman" w:hAnsi="Times New Roman" w:cs="Times New Roman"/>
          <w:b/>
          <w:bCs/>
          <w:sz w:val="20"/>
          <w:szCs w:val="20"/>
        </w:rPr>
        <w:t>Conformational Change from Occluded Closed over Moderately Open to Occluded Open Env</w:t>
      </w:r>
      <w:r w:rsidRPr="5C363AD7">
        <w:rPr>
          <w:rFonts w:ascii="Times New Roman" w:eastAsia="Times New Roman" w:hAnsi="Times New Roman" w:cs="Times New Roman"/>
          <w:b/>
          <w:bCs/>
          <w:sz w:val="20"/>
          <w:szCs w:val="20"/>
        </w:rPr>
        <w:t>.</w:t>
      </w:r>
      <w:r>
        <w:rPr>
          <w:rFonts w:ascii="Times New Roman" w:eastAsia="Times New Roman" w:hAnsi="Times New Roman" w:cs="Times New Roman"/>
          <w:b/>
          <w:bCs/>
          <w:sz w:val="20"/>
          <w:szCs w:val="20"/>
        </w:rPr>
        <w:t xml:space="preserve"> </w:t>
      </w:r>
      <w:r>
        <w:rPr>
          <w:rFonts w:ascii="Times New Roman" w:eastAsia="Times New Roman" w:hAnsi="Times New Roman" w:cs="Times New Roman"/>
          <w:sz w:val="20"/>
          <w:szCs w:val="20"/>
        </w:rPr>
        <w:t xml:space="preserve">Conformational </w:t>
      </w:r>
      <w:r w:rsidRPr="0059163D">
        <w:rPr>
          <w:rFonts w:ascii="Times New Roman" w:eastAsia="Times New Roman" w:hAnsi="Times New Roman" w:cs="Times New Roman"/>
          <w:sz w:val="20"/>
          <w:szCs w:val="20"/>
        </w:rPr>
        <w:t>interpolation from</w:t>
      </w:r>
      <w:r>
        <w:rPr>
          <w:rFonts w:ascii="Times New Roman" w:eastAsia="Times New Roman" w:hAnsi="Times New Roman" w:cs="Times New Roman"/>
          <w:b/>
          <w:bCs/>
          <w:sz w:val="20"/>
          <w:szCs w:val="20"/>
        </w:rPr>
        <w:t xml:space="preserve"> </w:t>
      </w:r>
      <w:r>
        <w:rPr>
          <w:rFonts w:ascii="Times New Roman" w:eastAsia="Times New Roman" w:hAnsi="Times New Roman" w:cs="Times New Roman"/>
          <w:sz w:val="20"/>
          <w:szCs w:val="20"/>
        </w:rPr>
        <w:t>our closed state AAA Env (AMC008-VRC01-35O22) over our moderately open state BBB Env (AMC008-b12) to our open state CDD Env (AMC008-b12-3BC315) relieves the V2 clashes observed in Movie 1. Thus, moderately open state BBB Env is instrumental to understanding the Env conformational path from closed to open conformations. Coloration as in Movie 1.</w:t>
      </w:r>
    </w:p>
    <w:p w14:paraId="16D133DD" w14:textId="77777777" w:rsidR="004212DE" w:rsidRDefault="004212DE" w:rsidP="004212DE">
      <w:pPr>
        <w:rPr>
          <w:rFonts w:ascii="Times New Roman" w:eastAsia="Times New Roman" w:hAnsi="Times New Roman" w:cs="Times New Roman"/>
          <w:b/>
          <w:bCs/>
          <w:sz w:val="20"/>
          <w:szCs w:val="20"/>
        </w:rPr>
      </w:pPr>
    </w:p>
    <w:p w14:paraId="72BF620D" w14:textId="77777777" w:rsidR="004212DE" w:rsidRDefault="004212DE" w:rsidP="004212DE">
      <w:r>
        <w:br w:type="page"/>
      </w:r>
    </w:p>
    <w:p w14:paraId="69D7177D" w14:textId="77777777" w:rsidR="00865217" w:rsidRDefault="00865217"/>
    <w:sectPr w:rsidR="008652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12DE"/>
    <w:rsid w:val="002E281E"/>
    <w:rsid w:val="003201BB"/>
    <w:rsid w:val="004212DE"/>
    <w:rsid w:val="005D43DA"/>
    <w:rsid w:val="008652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C98784"/>
  <w15:chartTrackingRefBased/>
  <w15:docId w15:val="{8636C695-4F56-4782-A777-4A0865F77C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12DE"/>
    <w:pPr>
      <w:spacing w:after="0" w:line="240" w:lineRule="auto"/>
    </w:pPr>
    <w:rPr>
      <w:rFonts w:eastAsiaTheme="minorEastAsia"/>
      <w:kern w:val="0"/>
      <w:lang w:eastAsia="zh-CN"/>
      <w14:ligatures w14:val="none"/>
    </w:rPr>
  </w:style>
  <w:style w:type="paragraph" w:styleId="Heading1">
    <w:name w:val="heading 1"/>
    <w:basedOn w:val="Normal"/>
    <w:next w:val="Normal"/>
    <w:link w:val="Heading1Char"/>
    <w:uiPriority w:val="9"/>
    <w:qFormat/>
    <w:rsid w:val="004212DE"/>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4212DE"/>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4212DE"/>
    <w:pPr>
      <w:keepNext/>
      <w:keepLines/>
      <w:spacing w:before="160" w:after="80" w:line="278" w:lineRule="auto"/>
      <w:outlineLvl w:val="2"/>
    </w:pPr>
    <w:rPr>
      <w:rFonts w:eastAsiaTheme="majorEastAsia"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4212DE"/>
    <w:pPr>
      <w:keepNext/>
      <w:keepLines/>
      <w:spacing w:before="80" w:after="40" w:line="278" w:lineRule="auto"/>
      <w:outlineLvl w:val="3"/>
    </w:pPr>
    <w:rPr>
      <w:rFonts w:eastAsiaTheme="majorEastAsia" w:cstheme="majorBidi"/>
      <w:i/>
      <w:iCs/>
      <w:color w:val="0F4761"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4212DE"/>
    <w:pPr>
      <w:keepNext/>
      <w:keepLines/>
      <w:spacing w:before="80" w:after="40" w:line="278" w:lineRule="auto"/>
      <w:outlineLvl w:val="4"/>
    </w:pPr>
    <w:rPr>
      <w:rFonts w:eastAsiaTheme="majorEastAsia" w:cstheme="majorBidi"/>
      <w:color w:val="0F4761"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4212DE"/>
    <w:pPr>
      <w:keepNext/>
      <w:keepLines/>
      <w:spacing w:before="40" w:line="278" w:lineRule="auto"/>
      <w:outlineLvl w:val="5"/>
    </w:pPr>
    <w:rPr>
      <w:rFonts w:eastAsiaTheme="majorEastAsia"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4212DE"/>
    <w:pPr>
      <w:keepNext/>
      <w:keepLines/>
      <w:spacing w:before="40" w:line="278" w:lineRule="auto"/>
      <w:outlineLvl w:val="6"/>
    </w:pPr>
    <w:rPr>
      <w:rFonts w:eastAsiaTheme="majorEastAsia"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4212DE"/>
    <w:pPr>
      <w:keepNext/>
      <w:keepLines/>
      <w:spacing w:line="278" w:lineRule="auto"/>
      <w:outlineLvl w:val="7"/>
    </w:pPr>
    <w:rPr>
      <w:rFonts w:eastAsiaTheme="majorEastAsia"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4212DE"/>
    <w:pPr>
      <w:keepNext/>
      <w:keepLines/>
      <w:spacing w:line="278" w:lineRule="auto"/>
      <w:outlineLvl w:val="8"/>
    </w:pPr>
    <w:rPr>
      <w:rFonts w:eastAsiaTheme="majorEastAsia" w:cstheme="majorBidi"/>
      <w:color w:val="272727" w:themeColor="text1" w:themeTint="D8"/>
      <w:kern w:val="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212D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212D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212D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212D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212D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212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212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212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212DE"/>
    <w:rPr>
      <w:rFonts w:eastAsiaTheme="majorEastAsia" w:cstheme="majorBidi"/>
      <w:color w:val="272727" w:themeColor="text1" w:themeTint="D8"/>
    </w:rPr>
  </w:style>
  <w:style w:type="paragraph" w:styleId="Title">
    <w:name w:val="Title"/>
    <w:basedOn w:val="Normal"/>
    <w:next w:val="Normal"/>
    <w:link w:val="TitleChar"/>
    <w:uiPriority w:val="10"/>
    <w:qFormat/>
    <w:rsid w:val="004212DE"/>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4212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212DE"/>
    <w:pPr>
      <w:numPr>
        <w:ilvl w:val="1"/>
      </w:numPr>
      <w:spacing w:after="160" w:line="278" w:lineRule="auto"/>
    </w:pPr>
    <w:rPr>
      <w:rFonts w:eastAsiaTheme="majorEastAsia"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4212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212DE"/>
    <w:pPr>
      <w:spacing w:before="160" w:after="160" w:line="278" w:lineRule="auto"/>
      <w:jc w:val="center"/>
    </w:pPr>
    <w:rPr>
      <w:rFonts w:eastAsiaTheme="minorHAns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4212DE"/>
    <w:rPr>
      <w:i/>
      <w:iCs/>
      <w:color w:val="404040" w:themeColor="text1" w:themeTint="BF"/>
    </w:rPr>
  </w:style>
  <w:style w:type="paragraph" w:styleId="ListParagraph">
    <w:name w:val="List Paragraph"/>
    <w:basedOn w:val="Normal"/>
    <w:uiPriority w:val="34"/>
    <w:qFormat/>
    <w:rsid w:val="004212DE"/>
    <w:pPr>
      <w:spacing w:after="160" w:line="278" w:lineRule="auto"/>
      <w:ind w:left="720"/>
      <w:contextualSpacing/>
    </w:pPr>
    <w:rPr>
      <w:rFonts w:eastAsiaTheme="minorHAnsi"/>
      <w:kern w:val="2"/>
      <w:lang w:eastAsia="en-US"/>
      <w14:ligatures w14:val="standardContextual"/>
    </w:rPr>
  </w:style>
  <w:style w:type="character" w:styleId="IntenseEmphasis">
    <w:name w:val="Intense Emphasis"/>
    <w:basedOn w:val="DefaultParagraphFont"/>
    <w:uiPriority w:val="21"/>
    <w:qFormat/>
    <w:rsid w:val="004212DE"/>
    <w:rPr>
      <w:i/>
      <w:iCs/>
      <w:color w:val="0F4761" w:themeColor="accent1" w:themeShade="BF"/>
    </w:rPr>
  </w:style>
  <w:style w:type="paragraph" w:styleId="IntenseQuote">
    <w:name w:val="Intense Quote"/>
    <w:basedOn w:val="Normal"/>
    <w:next w:val="Normal"/>
    <w:link w:val="IntenseQuoteChar"/>
    <w:uiPriority w:val="30"/>
    <w:qFormat/>
    <w:rsid w:val="004212DE"/>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4212DE"/>
    <w:rPr>
      <w:i/>
      <w:iCs/>
      <w:color w:val="0F4761" w:themeColor="accent1" w:themeShade="BF"/>
    </w:rPr>
  </w:style>
  <w:style w:type="character" w:styleId="IntenseReference">
    <w:name w:val="Intense Reference"/>
    <w:basedOn w:val="DefaultParagraphFont"/>
    <w:uiPriority w:val="32"/>
    <w:qFormat/>
    <w:rsid w:val="004212D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959</Words>
  <Characters>5471</Characters>
  <Application>Microsoft Office Word</Application>
  <DocSecurity>0</DocSecurity>
  <Lines>45</Lines>
  <Paragraphs>12</Paragraphs>
  <ScaleCrop>false</ScaleCrop>
  <Company>Springer Nature</Company>
  <LinksUpToDate>false</LinksUpToDate>
  <CharactersWithSpaces>6418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2025-07-09T06:26:00Z</dcterms:created>
  <dcterms:modified xsi:type="dcterms:W3CDTF">2025-07-09T06:26:00Z</dcterms:modified>
</cp:coreProperties>
</file>