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103E19" w14:textId="77777777" w:rsidR="002E4DDC" w:rsidRPr="002E4DDC" w:rsidRDefault="002E4DDC" w:rsidP="002E4DDC">
      <w:pPr>
        <w:rPr>
          <w:b/>
          <w:lang w:val="en"/>
        </w:rPr>
      </w:pPr>
      <w:r w:rsidRPr="002E4DDC">
        <w:rPr>
          <w:b/>
          <w:lang w:val="en"/>
        </w:rPr>
        <w:t>Supplementary Information Files</w:t>
      </w:r>
    </w:p>
    <w:p w14:paraId="562B1D6C" w14:textId="77777777" w:rsidR="002E4DDC" w:rsidRPr="002E4DDC" w:rsidRDefault="002E4DDC" w:rsidP="002E4DDC">
      <w:pPr>
        <w:rPr>
          <w:lang w:val="en"/>
        </w:rPr>
      </w:pPr>
      <w:r w:rsidRPr="002E4DDC">
        <w:rPr>
          <w:lang w:val="en"/>
        </w:rPr>
        <w:t>Supplementary Figures</w:t>
      </w:r>
    </w:p>
    <w:p w14:paraId="4F1497FE" w14:textId="77777777" w:rsidR="002E4DDC" w:rsidRPr="002E4DDC" w:rsidRDefault="002E4DDC" w:rsidP="002E4DDC">
      <w:pPr>
        <w:rPr>
          <w:lang w:val="en"/>
        </w:rPr>
      </w:pPr>
    </w:p>
    <w:p w14:paraId="6417CA5B" w14:textId="77777777" w:rsidR="002E4DDC" w:rsidRPr="002E4DDC" w:rsidRDefault="002E4DDC" w:rsidP="002E4DDC">
      <w:pPr>
        <w:rPr>
          <w:lang w:val="en"/>
        </w:rPr>
      </w:pPr>
      <w:r w:rsidRPr="002E4DDC">
        <w:rPr>
          <w:b/>
          <w:bCs/>
          <w:lang w:val="en"/>
        </w:rPr>
        <w:t>Supplementary Figure 1</w:t>
      </w:r>
      <w:r w:rsidRPr="002E4DDC">
        <w:rPr>
          <w:lang w:val="en"/>
        </w:rPr>
        <w:t xml:space="preserve"> </w:t>
      </w:r>
      <w:r w:rsidRPr="002E4DDC">
        <w:rPr>
          <w:lang w:val="en-US"/>
        </w:rPr>
        <w:t xml:space="preserve">Example SDS-PAGE gels showing myosin isoform composition of each muscle across rodent species. Myosin isoforms expressed in each species are listed to the right of each gel in migration order. SM, superficial masseter; DM, deep masseteric complex; TP, temporalis; PT, pterygoid complex; AD, anterior digastric; SH, sternohyoid. Controls: CP, chicken </w:t>
      </w:r>
      <w:proofErr w:type="gramStart"/>
      <w:r w:rsidRPr="002E4DDC">
        <w:rPr>
          <w:lang w:val="en-US"/>
        </w:rPr>
        <w:t>pectoralis ;</w:t>
      </w:r>
      <w:proofErr w:type="gramEnd"/>
      <w:r w:rsidRPr="002E4DDC">
        <w:rPr>
          <w:lang w:val="en-US"/>
        </w:rPr>
        <w:t xml:space="preserve"> MC, mouse </w:t>
      </w:r>
      <w:proofErr w:type="gramStart"/>
      <w:r w:rsidRPr="002E4DDC">
        <w:rPr>
          <w:lang w:val="en-US"/>
        </w:rPr>
        <w:t>cardiac ;</w:t>
      </w:r>
      <w:proofErr w:type="gramEnd"/>
      <w:r w:rsidRPr="002E4DDC">
        <w:rPr>
          <w:lang w:val="en-US"/>
        </w:rPr>
        <w:t xml:space="preserve"> PC, porcine cardiac.</w:t>
      </w:r>
    </w:p>
    <w:p w14:paraId="7FBAF227" w14:textId="77777777" w:rsidR="002E4DDC" w:rsidRPr="002E4DDC" w:rsidRDefault="002E4DDC" w:rsidP="002E4DDC">
      <w:pPr>
        <w:rPr>
          <w:lang w:val="en"/>
        </w:rPr>
      </w:pPr>
    </w:p>
    <w:p w14:paraId="41E8ADFD" w14:textId="77777777" w:rsidR="002E4DDC" w:rsidRPr="002E4DDC" w:rsidRDefault="002E4DDC" w:rsidP="002E4DDC">
      <w:pPr>
        <w:rPr>
          <w:lang w:val="en"/>
        </w:rPr>
      </w:pPr>
      <w:r w:rsidRPr="002E4DDC">
        <w:rPr>
          <w:b/>
          <w:bCs/>
          <w:lang w:val="en"/>
        </w:rPr>
        <w:t>Supplementary Figure 2</w:t>
      </w:r>
      <w:r w:rsidRPr="002E4DDC">
        <w:rPr>
          <w:lang w:val="en"/>
        </w:rPr>
        <w:t xml:space="preserve"> </w:t>
      </w:r>
      <w:r w:rsidRPr="002E4DDC">
        <w:rPr>
          <w:lang w:val="en-US"/>
        </w:rPr>
        <w:t>SDS-page data showing myosin isoform composition across muscles and individuals.</w:t>
      </w:r>
    </w:p>
    <w:p w14:paraId="1667AB70" w14:textId="77777777" w:rsidR="002E4DDC" w:rsidRPr="002E4DDC" w:rsidRDefault="002E4DDC" w:rsidP="002E4DDC">
      <w:pPr>
        <w:rPr>
          <w:lang w:val="en"/>
        </w:rPr>
      </w:pPr>
    </w:p>
    <w:p w14:paraId="2228AA13" w14:textId="77777777" w:rsidR="002E4DDC" w:rsidRPr="002E4DDC" w:rsidRDefault="002E4DDC" w:rsidP="002E4DDC">
      <w:pPr>
        <w:rPr>
          <w:lang w:val="en-US"/>
        </w:rPr>
      </w:pPr>
      <w:r w:rsidRPr="002E4DDC">
        <w:rPr>
          <w:b/>
          <w:bCs/>
          <w:lang w:val="en"/>
        </w:rPr>
        <w:t>Supplementary Figure 3</w:t>
      </w:r>
      <w:r w:rsidRPr="002E4DDC">
        <w:rPr>
          <w:lang w:val="en"/>
        </w:rPr>
        <w:t xml:space="preserve"> </w:t>
      </w:r>
      <w:r w:rsidRPr="002E4DDC">
        <w:rPr>
          <w:lang w:val="en-US"/>
        </w:rPr>
        <w:t>Models showing the orientations of the axes used to measure jaw joint translation and rotation, virtual markers used to measure distances between teeth, and the muscle lines of action used to calculate moment arms (MMAs). Example of time-varying jaw joint rotations and translations, along with occlusal distance between teeth and with MMA for 4 muscles in specimen rat 64, trial 1 (see supplemental video).</w:t>
      </w:r>
    </w:p>
    <w:p w14:paraId="0D117232" w14:textId="77777777" w:rsidR="002E4DDC" w:rsidRPr="002E4DDC" w:rsidRDefault="002E4DDC" w:rsidP="002E4DDC">
      <w:pPr>
        <w:rPr>
          <w:lang w:val="en"/>
        </w:rPr>
      </w:pPr>
      <w:r w:rsidRPr="002E4DDC">
        <w:rPr>
          <w:lang w:val="en"/>
        </w:rPr>
        <w:t>Supplementary Tables</w:t>
      </w:r>
    </w:p>
    <w:p w14:paraId="7156B317" w14:textId="77777777" w:rsidR="002E4DDC" w:rsidRPr="002E4DDC" w:rsidRDefault="002E4DDC" w:rsidP="002E4DDC">
      <w:pPr>
        <w:rPr>
          <w:lang w:val="en"/>
        </w:rPr>
      </w:pPr>
    </w:p>
    <w:p w14:paraId="26216BC6" w14:textId="77777777" w:rsidR="002E4DDC" w:rsidRPr="002E4DDC" w:rsidRDefault="002E4DDC" w:rsidP="002E4DDC">
      <w:pPr>
        <w:rPr>
          <w:lang w:val="en-US"/>
        </w:rPr>
      </w:pPr>
      <w:r w:rsidRPr="002E4DDC">
        <w:rPr>
          <w:b/>
          <w:bCs/>
          <w:lang w:val="en-US"/>
        </w:rPr>
        <w:t>Supplementary Table 1</w:t>
      </w:r>
      <w:r w:rsidRPr="002E4DDC">
        <w:rPr>
          <w:lang w:val="en-US"/>
        </w:rPr>
        <w:t xml:space="preserve"> Summary data for myosin isoform compositions of the rodent craniofacial muscles sampled in this study.</w:t>
      </w:r>
    </w:p>
    <w:p w14:paraId="6B304C7D" w14:textId="77777777" w:rsidR="002E4DDC" w:rsidRPr="002E4DDC" w:rsidRDefault="002E4DDC" w:rsidP="002E4DDC">
      <w:pPr>
        <w:rPr>
          <w:lang w:val="en-US"/>
        </w:rPr>
      </w:pPr>
    </w:p>
    <w:p w14:paraId="36F35524" w14:textId="77777777" w:rsidR="002E4DDC" w:rsidRPr="002E4DDC" w:rsidRDefault="002E4DDC" w:rsidP="002E4DDC">
      <w:pPr>
        <w:rPr>
          <w:lang w:val="en-US"/>
        </w:rPr>
      </w:pPr>
      <w:r w:rsidRPr="002E4DDC">
        <w:rPr>
          <w:b/>
          <w:bCs/>
          <w:lang w:val="en-US"/>
        </w:rPr>
        <w:t>Supplementary Table 2</w:t>
      </w:r>
      <w:r w:rsidRPr="002E4DDC">
        <w:rPr>
          <w:lang w:val="en-US"/>
        </w:rPr>
        <w:t xml:space="preserve"> Data for rodent craniofacial muscle physiological cross-sectional area (PCSA) collected as part of this study</w:t>
      </w:r>
    </w:p>
    <w:p w14:paraId="30161820" w14:textId="77777777" w:rsidR="002E4DDC" w:rsidRPr="002E4DDC" w:rsidRDefault="002E4DDC" w:rsidP="002E4DDC">
      <w:pPr>
        <w:rPr>
          <w:lang w:val="en-US"/>
        </w:rPr>
      </w:pPr>
    </w:p>
    <w:p w14:paraId="5AA8597E" w14:textId="77777777" w:rsidR="002E4DDC" w:rsidRPr="002E4DDC" w:rsidRDefault="002E4DDC" w:rsidP="002E4DDC">
      <w:pPr>
        <w:rPr>
          <w:lang w:val="en-US"/>
        </w:rPr>
      </w:pPr>
      <w:r w:rsidRPr="002E4DDC">
        <w:rPr>
          <w:b/>
          <w:bCs/>
          <w:lang w:val="en-US"/>
        </w:rPr>
        <w:t>Supplementary Table 3</w:t>
      </w:r>
      <w:r w:rsidRPr="002E4DDC">
        <w:rPr>
          <w:lang w:val="en-US"/>
        </w:rPr>
        <w:t xml:space="preserve"> Data for the </w:t>
      </w:r>
      <w:r w:rsidRPr="002E4DDC">
        <w:rPr>
          <w:i/>
          <w:iCs/>
          <w:lang w:val="en-US"/>
        </w:rPr>
        <w:t>ex vivo</w:t>
      </w:r>
      <w:r w:rsidRPr="002E4DDC">
        <w:rPr>
          <w:lang w:val="en-US"/>
        </w:rPr>
        <w:t xml:space="preserve"> XROMM specimens used in this study</w:t>
      </w:r>
    </w:p>
    <w:p w14:paraId="077E16C3" w14:textId="77777777" w:rsidR="002E4DDC" w:rsidRPr="002E4DDC" w:rsidRDefault="002E4DDC" w:rsidP="002E4DDC">
      <w:pPr>
        <w:rPr>
          <w:lang w:val="en"/>
        </w:rPr>
      </w:pPr>
    </w:p>
    <w:p w14:paraId="0B3BDE1B" w14:textId="77777777" w:rsidR="002E4DDC" w:rsidRPr="002E4DDC" w:rsidRDefault="002E4DDC" w:rsidP="002E4DDC">
      <w:pPr>
        <w:rPr>
          <w:lang w:val="en"/>
        </w:rPr>
      </w:pPr>
      <w:r w:rsidRPr="002E4DDC">
        <w:rPr>
          <w:lang w:val="en"/>
        </w:rPr>
        <w:t>Supplementary Videos</w:t>
      </w:r>
    </w:p>
    <w:p w14:paraId="12C46C2E" w14:textId="77777777" w:rsidR="002E4DDC" w:rsidRPr="002E4DDC" w:rsidRDefault="002E4DDC" w:rsidP="002E4DDC">
      <w:pPr>
        <w:rPr>
          <w:lang w:val="en"/>
        </w:rPr>
      </w:pPr>
    </w:p>
    <w:p w14:paraId="1476E74C" w14:textId="77777777" w:rsidR="002E4DDC" w:rsidRPr="002E4DDC" w:rsidRDefault="002E4DDC" w:rsidP="002E4DDC">
      <w:pPr>
        <w:rPr>
          <w:lang w:val="en-US"/>
        </w:rPr>
      </w:pPr>
      <w:r w:rsidRPr="002E4DDC">
        <w:rPr>
          <w:b/>
          <w:bCs/>
          <w:lang w:val="en"/>
        </w:rPr>
        <w:lastRenderedPageBreak/>
        <w:t>Supplementary Video 1</w:t>
      </w:r>
      <w:r w:rsidRPr="002E4DDC">
        <w:rPr>
          <w:lang w:val="en"/>
        </w:rPr>
        <w:t xml:space="preserve"> </w:t>
      </w:r>
      <w:r w:rsidRPr="002E4DDC">
        <w:rPr>
          <w:lang w:val="en-US"/>
        </w:rPr>
        <w:t xml:space="preserve">Animation of the </w:t>
      </w:r>
      <w:r w:rsidRPr="002E4DDC">
        <w:rPr>
          <w:i/>
          <w:iCs/>
          <w:lang w:val="en-US"/>
        </w:rPr>
        <w:t>ex vivo</w:t>
      </w:r>
      <w:r w:rsidRPr="002E4DDC">
        <w:rPr>
          <w:lang w:val="en-US"/>
        </w:rPr>
        <w:t xml:space="preserve"> XROMM set-up illustrating x-ray video data collection, jaw joint motion and dynamic changes in muscle line of action. Accompanied by line plots showing muscle moment arm change over time, and boxplots showing the distribution of moment arm values.</w:t>
      </w:r>
    </w:p>
    <w:p w14:paraId="30940622" w14:textId="77777777" w:rsidR="002E4DDC" w:rsidRPr="002E4DDC" w:rsidRDefault="002E4DDC" w:rsidP="002E4DDC">
      <w:pPr>
        <w:rPr>
          <w:lang w:val="en"/>
        </w:rPr>
      </w:pPr>
    </w:p>
    <w:p w14:paraId="04B97AC1"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4DDC"/>
    <w:rsid w:val="00171E5B"/>
    <w:rsid w:val="002E4DDC"/>
    <w:rsid w:val="00767E38"/>
    <w:rsid w:val="00866F7D"/>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7FAF91"/>
  <w15:chartTrackingRefBased/>
  <w15:docId w15:val="{6CA5566F-EA75-4F35-8028-522437C49F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E4DD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E4DD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E4DD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E4DD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E4DD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E4DD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E4DD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E4DD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E4DD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E4DD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E4DD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E4DD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E4DD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E4DD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E4DD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E4DD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E4DD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E4DDC"/>
    <w:rPr>
      <w:rFonts w:eastAsiaTheme="majorEastAsia" w:cstheme="majorBidi"/>
      <w:color w:val="272727" w:themeColor="text1" w:themeTint="D8"/>
    </w:rPr>
  </w:style>
  <w:style w:type="paragraph" w:styleId="Title">
    <w:name w:val="Title"/>
    <w:basedOn w:val="Normal"/>
    <w:next w:val="Normal"/>
    <w:link w:val="TitleChar"/>
    <w:uiPriority w:val="10"/>
    <w:qFormat/>
    <w:rsid w:val="002E4DD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E4DD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E4DD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E4DD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E4DDC"/>
    <w:pPr>
      <w:spacing w:before="160"/>
      <w:jc w:val="center"/>
    </w:pPr>
    <w:rPr>
      <w:i/>
      <w:iCs/>
      <w:color w:val="404040" w:themeColor="text1" w:themeTint="BF"/>
    </w:rPr>
  </w:style>
  <w:style w:type="character" w:customStyle="1" w:styleId="QuoteChar">
    <w:name w:val="Quote Char"/>
    <w:basedOn w:val="DefaultParagraphFont"/>
    <w:link w:val="Quote"/>
    <w:uiPriority w:val="29"/>
    <w:rsid w:val="002E4DDC"/>
    <w:rPr>
      <w:i/>
      <w:iCs/>
      <w:color w:val="404040" w:themeColor="text1" w:themeTint="BF"/>
    </w:rPr>
  </w:style>
  <w:style w:type="paragraph" w:styleId="ListParagraph">
    <w:name w:val="List Paragraph"/>
    <w:basedOn w:val="Normal"/>
    <w:uiPriority w:val="34"/>
    <w:qFormat/>
    <w:rsid w:val="002E4DDC"/>
    <w:pPr>
      <w:ind w:left="720"/>
      <w:contextualSpacing/>
    </w:pPr>
  </w:style>
  <w:style w:type="character" w:styleId="IntenseEmphasis">
    <w:name w:val="Intense Emphasis"/>
    <w:basedOn w:val="DefaultParagraphFont"/>
    <w:uiPriority w:val="21"/>
    <w:qFormat/>
    <w:rsid w:val="002E4DDC"/>
    <w:rPr>
      <w:i/>
      <w:iCs/>
      <w:color w:val="0F4761" w:themeColor="accent1" w:themeShade="BF"/>
    </w:rPr>
  </w:style>
  <w:style w:type="paragraph" w:styleId="IntenseQuote">
    <w:name w:val="Intense Quote"/>
    <w:basedOn w:val="Normal"/>
    <w:next w:val="Normal"/>
    <w:link w:val="IntenseQuoteChar"/>
    <w:uiPriority w:val="30"/>
    <w:qFormat/>
    <w:rsid w:val="002E4DD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E4DDC"/>
    <w:rPr>
      <w:i/>
      <w:iCs/>
      <w:color w:val="0F4761" w:themeColor="accent1" w:themeShade="BF"/>
    </w:rPr>
  </w:style>
  <w:style w:type="character" w:styleId="IntenseReference">
    <w:name w:val="Intense Reference"/>
    <w:basedOn w:val="DefaultParagraphFont"/>
    <w:uiPriority w:val="32"/>
    <w:qFormat/>
    <w:rsid w:val="002E4DD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8057750">
      <w:bodyDiv w:val="1"/>
      <w:marLeft w:val="0"/>
      <w:marRight w:val="0"/>
      <w:marTop w:val="0"/>
      <w:marBottom w:val="0"/>
      <w:divBdr>
        <w:top w:val="none" w:sz="0" w:space="0" w:color="auto"/>
        <w:left w:val="none" w:sz="0" w:space="0" w:color="auto"/>
        <w:bottom w:val="none" w:sz="0" w:space="0" w:color="auto"/>
        <w:right w:val="none" w:sz="0" w:space="0" w:color="auto"/>
      </w:divBdr>
    </w:div>
    <w:div w:id="1707024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253</Words>
  <Characters>1445</Characters>
  <Application>Microsoft Office Word</Application>
  <DocSecurity>0</DocSecurity>
  <Lines>12</Lines>
  <Paragraphs>3</Paragraphs>
  <ScaleCrop>false</ScaleCrop>
  <Company/>
  <LinksUpToDate>false</LinksUpToDate>
  <CharactersWithSpaces>1695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2025-08-20T06:08:00Z</dcterms:created>
  <dcterms:modified xsi:type="dcterms:W3CDTF">2025-08-20T06:08:00Z</dcterms:modified>
</cp:coreProperties>
</file>