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D924F" w14:textId="77777777" w:rsidR="00DC763F" w:rsidRPr="003548BB" w:rsidRDefault="00DC763F" w:rsidP="00DC763F">
      <w:pPr>
        <w:jc w:val="both"/>
        <w:rPr>
          <w:rFonts w:cs="Times New Roman"/>
        </w:rPr>
      </w:pPr>
      <w:r w:rsidRPr="003548BB">
        <w:rPr>
          <w:rFonts w:cs="Times New Roman"/>
          <w:noProof/>
        </w:rPr>
        <w:drawing>
          <wp:inline distT="0" distB="0" distL="0" distR="0" wp14:anchorId="62D72B5D" wp14:editId="589230AE">
            <wp:extent cx="5104130" cy="530225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04130" cy="5302250"/>
                    </a:xfrm>
                    <a:prstGeom prst="rect">
                      <a:avLst/>
                    </a:prstGeom>
                    <a:noFill/>
                    <a:ln>
                      <a:noFill/>
                    </a:ln>
                  </pic:spPr>
                </pic:pic>
              </a:graphicData>
            </a:graphic>
          </wp:inline>
        </w:drawing>
      </w:r>
    </w:p>
    <w:p w14:paraId="0CC2C69B" w14:textId="77777777" w:rsidR="00DC763F" w:rsidRDefault="00DC763F" w:rsidP="00DC763F">
      <w:pPr>
        <w:jc w:val="both"/>
        <w:rPr>
          <w:rFonts w:cs="Times New Roman"/>
        </w:rPr>
      </w:pPr>
      <w:r w:rsidRPr="003548BB">
        <w:rPr>
          <w:rFonts w:cs="Times New Roman"/>
          <w:b/>
          <w:bCs/>
        </w:rPr>
        <w:t>Extended Data Fig</w:t>
      </w:r>
      <w:r>
        <w:rPr>
          <w:rFonts w:cs="Times New Roman"/>
          <w:b/>
          <w:bCs/>
        </w:rPr>
        <w:t>ure</w:t>
      </w:r>
      <w:r w:rsidRPr="003548BB">
        <w:rPr>
          <w:rFonts w:cs="Times New Roman"/>
          <w:b/>
          <w:bCs/>
        </w:rPr>
        <w:t xml:space="preserve"> 1 | </w:t>
      </w:r>
      <w:r w:rsidRPr="0053134B">
        <w:rPr>
          <w:rFonts w:cs="Times New Roman"/>
          <w:b/>
          <w:bCs/>
        </w:rPr>
        <w:t>Comparison of seismic images of Xline 2356</w:t>
      </w:r>
      <w:r w:rsidRPr="003548BB">
        <w:rPr>
          <w:rFonts w:cs="Times New Roman"/>
        </w:rPr>
        <w:t xml:space="preserve"> (see Supplementary Figure 1 for the location)</w:t>
      </w:r>
      <w:r w:rsidRPr="003548BB">
        <w:rPr>
          <w:rFonts w:cs="Times New Roman"/>
          <w:b/>
          <w:bCs/>
        </w:rPr>
        <w:t xml:space="preserve"> </w:t>
      </w:r>
      <w:r w:rsidRPr="003548BB">
        <w:rPr>
          <w:rFonts w:cs="Times New Roman"/>
        </w:rPr>
        <w:t>using conventional method (a)</w:t>
      </w:r>
      <w:r>
        <w:rPr>
          <w:rFonts w:cs="Times New Roman"/>
        </w:rPr>
        <w:t xml:space="preserve"> </w:t>
      </w:r>
      <w:r w:rsidRPr="003548BB">
        <w:rPr>
          <w:rFonts w:cs="Times New Roman"/>
        </w:rPr>
        <w:t xml:space="preserve">showing Layer 2A </w:t>
      </w:r>
      <w:r>
        <w:rPr>
          <w:rFonts w:cs="Times New Roman"/>
        </w:rPr>
        <w:t xml:space="preserve">reflections </w:t>
      </w:r>
      <w:r w:rsidRPr="003548BB">
        <w:rPr>
          <w:rFonts w:cs="Times New Roman"/>
        </w:rPr>
        <w:t xml:space="preserve">and </w:t>
      </w:r>
      <w:r>
        <w:rPr>
          <w:rFonts w:cs="Times New Roman"/>
        </w:rPr>
        <w:t xml:space="preserve">magma domain </w:t>
      </w:r>
      <w:r w:rsidRPr="003548BB">
        <w:rPr>
          <w:rFonts w:cs="Times New Roman"/>
        </w:rPr>
        <w:t>m</w:t>
      </w:r>
      <w:r>
        <w:rPr>
          <w:rFonts w:cs="Times New Roman"/>
        </w:rPr>
        <w:t>agma</w:t>
      </w:r>
      <w:r w:rsidRPr="003548BB">
        <w:rPr>
          <w:rFonts w:cs="Times New Roman"/>
        </w:rPr>
        <w:t xml:space="preserve"> </w:t>
      </w:r>
      <w:r>
        <w:rPr>
          <w:rFonts w:cs="Times New Roman"/>
        </w:rPr>
        <w:t>sill</w:t>
      </w:r>
      <w:r w:rsidRPr="003548BB">
        <w:rPr>
          <w:rFonts w:cs="Times New Roman"/>
        </w:rPr>
        <w:t>s, tomograph</w:t>
      </w:r>
      <w:r>
        <w:rPr>
          <w:rFonts w:cs="Times New Roman"/>
        </w:rPr>
        <w:t>ic-derived velocities</w:t>
      </w:r>
      <w:r w:rsidRPr="003548BB">
        <w:rPr>
          <w:rFonts w:cs="Times New Roman"/>
        </w:rPr>
        <w:t xml:space="preserve"> </w:t>
      </w:r>
      <w:r>
        <w:rPr>
          <w:rFonts w:cs="Times New Roman"/>
        </w:rPr>
        <w:t>using</w:t>
      </w:r>
      <w:r w:rsidRPr="003548BB">
        <w:rPr>
          <w:rFonts w:cs="Times New Roman"/>
        </w:rPr>
        <w:t xml:space="preserve"> full waveform of MCS data</w:t>
      </w:r>
      <w:r>
        <w:rPr>
          <w:rFonts w:cs="Times New Roman"/>
        </w:rPr>
        <w:fldChar w:fldCharType="begin"/>
      </w:r>
      <w:r>
        <w:rPr>
          <w:rFonts w:cs="Times New Roman"/>
        </w:rPr>
        <w:instrText xml:space="preserve"> ADDIN ZOTERO_ITEM CSL_CITATION {"citationID":"SojdMwIG","properties":{"formattedCitation":"\\super 26\\nosupersub{}","plainCitation":"26","noteIndex":0},"citationItems":[{"id":1795,"uris":["http://zotero.org/users/9382076/items/9TQYIZKI"],"itemData":{"id":1795,"type":"article-journal","abstract":"Axial Seamount is the most volcanically active site of the northeast Paciﬁc, and it has been monitored with a growing set of observations and sensors during the last two decades. Accurate imaging of the internal structure of volcanic systems is critical to better understand magma storage processes and to quantify mass and energy transport mechanisms in the crust. To improve the three-dimensional velocity structure of Axial Seamount, we combined 469,891 new traveltime arrivals, from 12 downward extrapolated seismic proﬁles, with 3,962 existing ocean-bottom-seismometers traveltime arrivals, into a joint tomographic inversion. Our approach reveals two elongated magma reservoirs, with melt fraction up to 65%, representing an unusually large volume of melt (26–60 km3), which is likely the result of enhanced magma supply from the juxtaposition of the Cobb hot spot plume (0.26–0.53 m3/s) and the Axial spreading segment (0.79–1.06 m3/s). The tomographic model also resolves a subsided caldera ﬂoor that provides an effective trap for ponding lava ﬂows, via a “trapdoor” mechanism. Our model also shows that Axial’s extrusive section is thinnest beneath the elevated volcano, where anomalously thick (11 km) oceanic crust is present. We therefore suggest that focused and enhanced melt supply predominantly thickens the crust beneath Axial Seamount through diking accretion and gabbro crystallization. Lastly, we demonstrate that our three-dimensional velocity model provides a more realistic starting point for relocating the local seismicity, better resolving a network of conjugate outward and inward dipping faults beneath the caldera walls.","container-title":"Journal of Geophysical Research: Solid Earth","DOI":"10.1029/2017JB015131","ISSN":"2169-9313, 2169-9356","issue":"6","journalAbbreviation":"JGR Solid Earth","language":"en","page":"4618-4646","source":"DOI.org (Crossref)","title":"Structure, Seismicity, and Accretionary Processes at the Hot Spot</w:instrText>
      </w:r>
      <w:r>
        <w:rPr>
          <w:rFonts w:cs="Times New Roman" w:hint="eastAsia"/>
        </w:rPr>
        <w:instrText>‐</w:instrText>
      </w:r>
      <w:r>
        <w:rPr>
          <w:rFonts w:cs="Times New Roman"/>
        </w:rPr>
        <w:instrText xml:space="preserve">Influenced Axial Seamount on the Juan de Fuca Ridge","volume":"123","author":[{"family":"Arnulf","given":"A. F."},{"family":"Harding","given":"A. J."},{"family":"Kent","given":"G. M."},{"family":"Wilcock","given":"W. S. D."}],"issued":{"date-parts":[["2018",6]]}}}],"schema":"https://github.com/citation-style-language/schema/raw/master/csl-citation.json"} </w:instrText>
      </w:r>
      <w:r>
        <w:rPr>
          <w:rFonts w:cs="Times New Roman"/>
        </w:rPr>
        <w:fldChar w:fldCharType="separate"/>
      </w:r>
      <w:r w:rsidRPr="00F24A80">
        <w:rPr>
          <w:rFonts w:cs="Times New Roman"/>
          <w:kern w:val="0"/>
          <w:vertAlign w:val="superscript"/>
        </w:rPr>
        <w:t>26</w:t>
      </w:r>
      <w:r>
        <w:rPr>
          <w:rFonts w:cs="Times New Roman"/>
        </w:rPr>
        <w:fldChar w:fldCharType="end"/>
      </w:r>
      <w:r w:rsidRPr="003548BB">
        <w:rPr>
          <w:rFonts w:cs="Times New Roman"/>
        </w:rPr>
        <w:t xml:space="preserve"> (b)</w:t>
      </w:r>
      <w:r>
        <w:rPr>
          <w:rFonts w:cs="Times New Roman"/>
        </w:rPr>
        <w:t xml:space="preserve">, </w:t>
      </w:r>
      <w:r w:rsidRPr="003548BB">
        <w:rPr>
          <w:rFonts w:cs="Times New Roman"/>
        </w:rPr>
        <w:t>and 3</w:t>
      </w:r>
      <w:r>
        <w:rPr>
          <w:rFonts w:cs="Times New Roman"/>
        </w:rPr>
        <w:t>-</w:t>
      </w:r>
      <w:r w:rsidRPr="003548BB">
        <w:rPr>
          <w:rFonts w:cs="Times New Roman"/>
        </w:rPr>
        <w:t xml:space="preserve">D PSDM </w:t>
      </w:r>
      <w:r>
        <w:rPr>
          <w:rFonts w:cs="Times New Roman"/>
        </w:rPr>
        <w:t xml:space="preserve">(c) </w:t>
      </w:r>
      <w:r w:rsidRPr="003548BB">
        <w:rPr>
          <w:rFonts w:cs="Times New Roman"/>
        </w:rPr>
        <w:t>showing subsiding lava flows and melt sills. Note the absence of Layer 2A in the PSDM image, suggesting Layer 2A imaged in (a) is not the base of the lava flows.</w:t>
      </w:r>
    </w:p>
    <w:p w14:paraId="2749DCFC" w14:textId="77777777" w:rsidR="00DC763F" w:rsidRDefault="00DC763F" w:rsidP="00DC763F">
      <w:pPr>
        <w:rPr>
          <w:rFonts w:cs="Times New Roman"/>
        </w:rPr>
      </w:pPr>
      <w:r>
        <w:rPr>
          <w:rFonts w:cs="Times New Roman"/>
        </w:rPr>
        <w:br w:type="page"/>
      </w:r>
    </w:p>
    <w:p w14:paraId="57AF7D9F" w14:textId="77777777" w:rsidR="00DC763F" w:rsidRDefault="00DC763F" w:rsidP="00DC763F">
      <w:pPr>
        <w:jc w:val="both"/>
        <w:rPr>
          <w:rFonts w:cs="Times New Roman"/>
        </w:rPr>
      </w:pPr>
      <w:r>
        <w:rPr>
          <w:noProof/>
        </w:rPr>
        <w:lastRenderedPageBreak/>
        <w:drawing>
          <wp:inline distT="0" distB="0" distL="0" distR="0" wp14:anchorId="7A3CFE96" wp14:editId="386D6A42">
            <wp:extent cx="5731510" cy="2786380"/>
            <wp:effectExtent l="0" t="0" r="2540" b="0"/>
            <wp:docPr id="12" name="图片 12" descr="A close-up of a red and green se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 close-up of a red and green section&#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2786380"/>
                    </a:xfrm>
                    <a:prstGeom prst="rect">
                      <a:avLst/>
                    </a:prstGeom>
                    <a:noFill/>
                    <a:ln>
                      <a:noFill/>
                    </a:ln>
                  </pic:spPr>
                </pic:pic>
              </a:graphicData>
            </a:graphic>
          </wp:inline>
        </w:drawing>
      </w:r>
    </w:p>
    <w:p w14:paraId="027320F2" w14:textId="77777777" w:rsidR="00DC763F" w:rsidRDefault="00DC763F" w:rsidP="00DC763F">
      <w:pPr>
        <w:jc w:val="both"/>
        <w:rPr>
          <w:rFonts w:cs="Times New Roman"/>
        </w:rPr>
      </w:pPr>
      <w:r w:rsidRPr="00634AE8">
        <w:rPr>
          <w:rFonts w:cs="Times New Roman"/>
          <w:b/>
          <w:bCs/>
        </w:rPr>
        <w:t>Extended Data Figure 2</w:t>
      </w:r>
      <w:r>
        <w:rPr>
          <w:rFonts w:cs="Times New Roman"/>
          <w:b/>
          <w:bCs/>
        </w:rPr>
        <w:t xml:space="preserve"> | Seismic image across caldera: </w:t>
      </w:r>
      <w:r>
        <w:rPr>
          <w:rFonts w:cs="Times New Roman"/>
        </w:rPr>
        <w:t xml:space="preserve">A block diagram highlights Xline 2601 that crosses the southeast portion of the caldera. The dips of lava flow layers are marked. </w:t>
      </w:r>
    </w:p>
    <w:p w14:paraId="15C391C6" w14:textId="77777777" w:rsidR="00DC763F" w:rsidRDefault="00DC763F" w:rsidP="00DC763F">
      <w:pPr>
        <w:rPr>
          <w:rFonts w:cs="Times New Roman"/>
        </w:rPr>
      </w:pPr>
      <w:r>
        <w:rPr>
          <w:rFonts w:cs="Times New Roman"/>
        </w:rPr>
        <w:br w:type="page"/>
      </w:r>
    </w:p>
    <w:p w14:paraId="0ABC12B5" w14:textId="77777777" w:rsidR="00DC763F" w:rsidRPr="003548BB" w:rsidRDefault="00DC763F" w:rsidP="00DC763F">
      <w:pPr>
        <w:jc w:val="both"/>
        <w:rPr>
          <w:rFonts w:cs="Times New Roman"/>
        </w:rPr>
      </w:pPr>
      <w:r>
        <w:rPr>
          <w:noProof/>
        </w:rPr>
        <w:lastRenderedPageBreak/>
        <w:drawing>
          <wp:inline distT="0" distB="0" distL="0" distR="0" wp14:anchorId="3AF867CC" wp14:editId="52E50E96">
            <wp:extent cx="5731510" cy="2496185"/>
            <wp:effectExtent l="0" t="0" r="2540" b="0"/>
            <wp:docPr id="13" name="图片 13" descr="A diagram of a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 diagram of a structure&#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496185"/>
                    </a:xfrm>
                    <a:prstGeom prst="rect">
                      <a:avLst/>
                    </a:prstGeom>
                    <a:noFill/>
                    <a:ln>
                      <a:noFill/>
                    </a:ln>
                  </pic:spPr>
                </pic:pic>
              </a:graphicData>
            </a:graphic>
          </wp:inline>
        </w:drawing>
      </w:r>
    </w:p>
    <w:p w14:paraId="6C264F97" w14:textId="77777777" w:rsidR="00DC763F" w:rsidRPr="00634AE8" w:rsidRDefault="00DC763F" w:rsidP="00DC763F">
      <w:pPr>
        <w:jc w:val="both"/>
        <w:rPr>
          <w:rFonts w:cs="Times New Roman"/>
          <w:vertAlign w:val="superscript"/>
          <w:lang w:val="en-US" w:eastAsia="en-CA"/>
        </w:rPr>
      </w:pPr>
      <w:r w:rsidRPr="003548BB">
        <w:rPr>
          <w:rFonts w:cs="Times New Roman"/>
          <w:b/>
          <w:bCs/>
        </w:rPr>
        <w:t>Extended Data Fig</w:t>
      </w:r>
      <w:r>
        <w:rPr>
          <w:rFonts w:cs="Times New Roman"/>
          <w:b/>
          <w:bCs/>
        </w:rPr>
        <w:t>ure</w:t>
      </w:r>
      <w:r w:rsidRPr="003548BB">
        <w:rPr>
          <w:rFonts w:cs="Times New Roman"/>
          <w:b/>
          <w:bCs/>
        </w:rPr>
        <w:t xml:space="preserve"> </w:t>
      </w:r>
      <w:r>
        <w:rPr>
          <w:rFonts w:cs="Times New Roman"/>
          <w:b/>
          <w:bCs/>
        </w:rPr>
        <w:t>3</w:t>
      </w:r>
      <w:r w:rsidRPr="003548BB">
        <w:rPr>
          <w:rFonts w:cs="Times New Roman"/>
          <w:b/>
          <w:bCs/>
        </w:rPr>
        <w:t xml:space="preserve"> | Seismic images along the rift zones:</w:t>
      </w:r>
      <w:r w:rsidRPr="003548BB">
        <w:rPr>
          <w:rFonts w:cs="Times New Roman"/>
        </w:rPr>
        <w:t xml:space="preserve"> Seismic images along the rift zones (SRZ, NRZ) (</w:t>
      </w:r>
      <w:r>
        <w:rPr>
          <w:rFonts w:cs="Times New Roman"/>
        </w:rPr>
        <w:t>light blue</w:t>
      </w:r>
      <w:r w:rsidRPr="003548BB">
        <w:rPr>
          <w:rFonts w:cs="Times New Roman"/>
        </w:rPr>
        <w:t xml:space="preserve"> lines in </w:t>
      </w:r>
      <w:r w:rsidRPr="00E70250">
        <w:rPr>
          <w:rFonts w:cs="Times New Roman"/>
          <w:lang w:eastAsia="zh-CN"/>
        </w:rPr>
        <w:t xml:space="preserve">Supplementary </w:t>
      </w:r>
      <w:r w:rsidRPr="003548BB">
        <w:rPr>
          <w:rFonts w:cs="Times New Roman"/>
        </w:rPr>
        <w:t xml:space="preserve">Fig. 1). </w:t>
      </w:r>
      <w:r>
        <w:rPr>
          <w:rFonts w:cs="Times New Roman"/>
        </w:rPr>
        <w:t>Yellow lines</w:t>
      </w:r>
      <w:r w:rsidRPr="003548BB">
        <w:rPr>
          <w:rFonts w:cs="Times New Roman"/>
        </w:rPr>
        <w:t xml:space="preserve"> are lava flows, red</w:t>
      </w:r>
      <w:r>
        <w:rPr>
          <w:rFonts w:cs="Times New Roman"/>
        </w:rPr>
        <w:t xml:space="preserve"> lines show magma domain magma</w:t>
      </w:r>
      <w:r w:rsidRPr="003548BB">
        <w:rPr>
          <w:rFonts w:cs="Times New Roman"/>
        </w:rPr>
        <w:t xml:space="preserve"> </w:t>
      </w:r>
      <w:r>
        <w:rPr>
          <w:rFonts w:cs="Times New Roman"/>
        </w:rPr>
        <w:t xml:space="preserve">sills, </w:t>
      </w:r>
      <w:r w:rsidRPr="003548BB">
        <w:rPr>
          <w:rFonts w:cs="Times New Roman"/>
        </w:rPr>
        <w:t xml:space="preserve">and magenta </w:t>
      </w:r>
      <w:r>
        <w:rPr>
          <w:rFonts w:cs="Times New Roman"/>
        </w:rPr>
        <w:t xml:space="preserve">lines denote upper crustal </w:t>
      </w:r>
      <w:r w:rsidRPr="003548BB">
        <w:rPr>
          <w:rFonts w:cs="Times New Roman"/>
        </w:rPr>
        <w:t>faults.</w:t>
      </w:r>
      <w:r>
        <w:rPr>
          <w:rFonts w:cs="Times New Roman"/>
        </w:rPr>
        <w:t xml:space="preserve"> </w:t>
      </w:r>
      <w:r w:rsidRPr="00D51A4F">
        <w:rPr>
          <w:rFonts w:cs="Times New Roman"/>
          <w:lang w:eastAsia="en-CA"/>
        </w:rPr>
        <w:t xml:space="preserve">Locations of hydrothermal fields </w:t>
      </w:r>
      <w:r>
        <w:rPr>
          <w:rFonts w:cs="Times New Roman"/>
          <w:lang w:eastAsia="en-CA"/>
        </w:rPr>
        <w:t xml:space="preserve">are shown as </w:t>
      </w:r>
      <w:r w:rsidRPr="00D51A4F">
        <w:rPr>
          <w:rFonts w:cs="Times New Roman"/>
          <w:lang w:eastAsia="en-CA"/>
        </w:rPr>
        <w:t>small, magenta-filled triangles</w:t>
      </w:r>
      <w:r>
        <w:rPr>
          <w:rFonts w:cs="Times New Roman"/>
          <w:vertAlign w:val="superscript"/>
          <w:lang w:eastAsia="en-CA"/>
        </w:rPr>
        <w:fldChar w:fldCharType="begin"/>
      </w:r>
      <w:r>
        <w:rPr>
          <w:rFonts w:cs="Times New Roman"/>
          <w:vertAlign w:val="superscript"/>
          <w:lang w:eastAsia="en-CA"/>
        </w:rPr>
        <w:instrText xml:space="preserve"> ADDIN ZOTERO_ITEM CSL_CITATION {"citationID":"1shjpnMa","properties":{"formattedCitation":"\\super 18\\nosupersub{}","plainCitation":"18","noteIndex":0},"citationItems":[{"id":2560,"uris":["http://zotero.org/users/9382076/items/UZ29DDV4"],"itemData":{"id":2560,"type":"article-journal","abstract":"Mid</w:instrText>
      </w:r>
      <w:r>
        <w:rPr>
          <w:rFonts w:cs="Times New Roman" w:hint="eastAsia"/>
          <w:vertAlign w:val="superscript"/>
          <w:lang w:eastAsia="en-CA"/>
        </w:rPr>
        <w:instrText>‐</w:instrText>
      </w:r>
      <w:r>
        <w:rPr>
          <w:rFonts w:cs="Times New Roman"/>
          <w:vertAlign w:val="superscript"/>
          <w:lang w:eastAsia="en-CA"/>
        </w:rPr>
        <w:instrText>ocean ridge eruptions, initiating or revitalizing hydrothermal discharge and disrupting seaﬂoor ecosystems, occur regularly as a consequence of plate spreading. Evaluating their impact on long</w:instrText>
      </w:r>
      <w:r>
        <w:rPr>
          <w:rFonts w:cs="Times New Roman" w:hint="eastAsia"/>
          <w:vertAlign w:val="superscript"/>
          <w:lang w:eastAsia="en-CA"/>
        </w:rPr>
        <w:instrText>‐</w:instrText>
      </w:r>
      <w:r>
        <w:rPr>
          <w:rFonts w:cs="Times New Roman"/>
          <w:vertAlign w:val="superscript"/>
          <w:lang w:eastAsia="en-CA"/>
        </w:rPr>
        <w:instrText>term hydrothermal discharge requires information on the scale and duration of any posteruption enhancement. Here we describe a unique hydrothermal plume time series of annual (or more frequent) observations at Axial Seamount vent ﬁelds from 1985 through 2017, missing only 7 years. Axial, a hot spot volcano astride the Juan de Fuca Ridge, experienced eruptions in 1998, 2011, and 2015. In 1998 and 2011 lava ﬂooded the SE caldera and south rift zone, but in 2015 most lava was extruded in a series of ﬂows extending ~20 km down the north rift zone. Response cruises occurred within 18 days (1998) to about 4 months, followed by regular posteruption observations. All 30 cruises measured plume rise height (a proxy for heat ﬂux) and turbidity (indicative of chemical changes in vent discharge) at several vent sites, yielding an integrated view of vent ﬁeld activity. Venting in the SE caldera area persisted throughout the time series, consistent with the imaged location of the shallowest portion of the melt</w:instrText>
      </w:r>
      <w:r>
        <w:rPr>
          <w:rFonts w:cs="Times New Roman" w:hint="eastAsia"/>
          <w:vertAlign w:val="superscript"/>
          <w:lang w:eastAsia="en-CA"/>
        </w:rPr>
        <w:instrText>‐</w:instrText>
      </w:r>
      <w:r>
        <w:rPr>
          <w:rFonts w:cs="Times New Roman"/>
          <w:vertAlign w:val="superscript"/>
          <w:lang w:eastAsia="en-CA"/>
        </w:rPr>
        <w:instrText>rich magma reservoir. Eruptions produced substantial and diagnostic increases in plume rise and turbidity, and posteruption enhancements lasted 2–5 years, totaling ~10 years over the course of the time series. Estimates of the relative heat ﬂux indicate a sixfold increase during eruption</w:instrText>
      </w:r>
      <w:r>
        <w:rPr>
          <w:rFonts w:cs="Times New Roman" w:hint="eastAsia"/>
          <w:vertAlign w:val="superscript"/>
          <w:lang w:eastAsia="en-CA"/>
        </w:rPr>
        <w:instrText>‐</w:instrText>
      </w:r>
      <w:r>
        <w:rPr>
          <w:rFonts w:cs="Times New Roman"/>
          <w:vertAlign w:val="superscript"/>
          <w:lang w:eastAsia="en-CA"/>
        </w:rPr>
        <w:instrText>enhanced periods, implying that generalizations about mid</w:instrText>
      </w:r>
      <w:r>
        <w:rPr>
          <w:rFonts w:cs="Times New Roman" w:hint="eastAsia"/>
          <w:vertAlign w:val="superscript"/>
          <w:lang w:eastAsia="en-CA"/>
        </w:rPr>
        <w:instrText>‐</w:instrText>
      </w:r>
      <w:r>
        <w:rPr>
          <w:rFonts w:cs="Times New Roman"/>
          <w:vertAlign w:val="superscript"/>
          <w:lang w:eastAsia="en-CA"/>
        </w:rPr>
        <w:instrText>ocean ridge hydrothermal ﬂuxes may be underestimates if based on non–eruption</w:instrText>
      </w:r>
      <w:r>
        <w:rPr>
          <w:rFonts w:cs="Times New Roman" w:hint="eastAsia"/>
          <w:vertAlign w:val="superscript"/>
          <w:lang w:eastAsia="en-CA"/>
        </w:rPr>
        <w:instrText>‐</w:instrText>
      </w:r>
      <w:r>
        <w:rPr>
          <w:rFonts w:cs="Times New Roman"/>
          <w:vertAlign w:val="superscript"/>
          <w:lang w:eastAsia="en-CA"/>
        </w:rPr>
        <w:instrText>enhanced hydrothermal activity alone. Plain Language Summary We use a three</w:instrText>
      </w:r>
      <w:r>
        <w:rPr>
          <w:rFonts w:cs="Times New Roman" w:hint="eastAsia"/>
          <w:vertAlign w:val="superscript"/>
          <w:lang w:eastAsia="en-CA"/>
        </w:rPr>
        <w:instrText>‐</w:instrText>
      </w:r>
      <w:r>
        <w:rPr>
          <w:rFonts w:cs="Times New Roman"/>
          <w:vertAlign w:val="superscript"/>
          <w:lang w:eastAsia="en-CA"/>
        </w:rPr>
        <w:instrText>decade</w:instrText>
      </w:r>
      <w:r>
        <w:rPr>
          <w:rFonts w:cs="Times New Roman" w:hint="eastAsia"/>
          <w:vertAlign w:val="superscript"/>
          <w:lang w:eastAsia="en-CA"/>
        </w:rPr>
        <w:instrText>‐</w:instrText>
      </w:r>
      <w:r>
        <w:rPr>
          <w:rFonts w:cs="Times New Roman"/>
          <w:vertAlign w:val="superscript"/>
          <w:lang w:eastAsia="en-CA"/>
        </w:rPr>
        <w:instrText>long time series to understand how seaﬂoor volcanic eruptions affect hydrothermal venting. Axial Seamount, 1,400 m deep and about 400 km off the coast of Washington state, has erupted in 1998, 2011, and 2015. Each eruption caused a substantial increase, lasting 2 to 5 years, in the discharge of hot ﬂuids and chemicals from the seaﬂoor. These eruption periods thus contributed more heat and chemicals to the ocean than the 20 years with no eruption activity. Seaﬂoor eruptions may thus play a more important role in hydrothermal venting than previously expected.","container-title":"Geochemistry, Geophysics, Geosystems","DOI":"10.1029/2018gc007802","ISSN":"1525-2027, 1525-2027","issue":"2","journalAbbreviation":"Geochem Geophys Geosyst","language":"en","license":"http://onlinelibrary.wiley.com/termsAndConditions#am","note":"publisher: American Geophysical Union (AGU)","page":"814-828","source":"Crossref","title":"Posteruption Enhancement of Hydrothermal Activity: A 33</w:instrText>
      </w:r>
      <w:r>
        <w:rPr>
          <w:rFonts w:cs="Times New Roman" w:hint="eastAsia"/>
          <w:vertAlign w:val="superscript"/>
          <w:lang w:eastAsia="en-CA"/>
        </w:rPr>
        <w:instrText>‐</w:instrText>
      </w:r>
      <w:r>
        <w:rPr>
          <w:rFonts w:cs="Times New Roman"/>
          <w:vertAlign w:val="superscript"/>
          <w:lang w:eastAsia="en-CA"/>
        </w:rPr>
        <w:instrText xml:space="preserve">Year, Multieruption Time Series at Axial Seamount (Juan de Fuca Ridge)","title-short":"Posteruption Enhancement of Hydrothermal Activity","volume":"20","author":[{"family":"Baker","given":"Edward T."},{"family":"Walker","given":"Sharon L."},{"family":"Chadwick","given":"William W."},{"family":"Butterfield","given":"David A."},{"family":"Buck","given":"Nathaniel J."},{"family":"Resing","given":"Joseph A."}],"issued":{"date-parts":[["2019",2]]}}}],"schema":"https://github.com/citation-style-language/schema/raw/master/csl-citation.json"} </w:instrText>
      </w:r>
      <w:r>
        <w:rPr>
          <w:rFonts w:cs="Times New Roman"/>
          <w:vertAlign w:val="superscript"/>
          <w:lang w:eastAsia="en-CA"/>
        </w:rPr>
        <w:fldChar w:fldCharType="separate"/>
      </w:r>
      <w:r w:rsidRPr="00EF5FDC">
        <w:rPr>
          <w:rFonts w:cs="Times New Roman"/>
          <w:kern w:val="0"/>
          <w:vertAlign w:val="superscript"/>
        </w:rPr>
        <w:t>18</w:t>
      </w:r>
      <w:r>
        <w:rPr>
          <w:rFonts w:cs="Times New Roman"/>
          <w:vertAlign w:val="superscript"/>
          <w:lang w:eastAsia="en-CA"/>
        </w:rPr>
        <w:fldChar w:fldCharType="end"/>
      </w:r>
      <w:r>
        <w:rPr>
          <w:rFonts w:cs="Times New Roman"/>
          <w:lang w:eastAsia="en-CA"/>
        </w:rPr>
        <w:t>.</w:t>
      </w:r>
      <w:r w:rsidRPr="00D51A4F">
        <w:rPr>
          <w:rFonts w:cs="Times New Roman"/>
          <w:lang w:eastAsia="en-CA"/>
        </w:rPr>
        <w:t xml:space="preserve"> Outlines of the 1998 (blue), 2011 (cyan) and 2015 (green) eruption lava flows are overlain on the bathymetric map</w:t>
      </w:r>
      <w:r>
        <w:rPr>
          <w:rFonts w:cs="Times New Roman"/>
          <w:kern w:val="0"/>
          <w:vertAlign w:val="superscript"/>
        </w:rPr>
        <w:t>56-58</w:t>
      </w:r>
      <w:r w:rsidRPr="00634AE8">
        <w:rPr>
          <w:rFonts w:cs="Times New Roman"/>
          <w:lang w:val="en-US" w:eastAsia="en-CA"/>
        </w:rPr>
        <w:t>.</w:t>
      </w:r>
      <w:r>
        <w:rPr>
          <w:rFonts w:cs="Times New Roman"/>
          <w:lang w:val="en-US" w:eastAsia="en-CA"/>
        </w:rPr>
        <w:t xml:space="preserve"> </w:t>
      </w:r>
      <w:bookmarkStart w:id="0" w:name="_Hlk197532103"/>
      <w:r>
        <w:rPr>
          <w:rFonts w:cs="Times New Roman"/>
        </w:rPr>
        <w:t>T</w:t>
      </w:r>
      <w:r w:rsidRPr="00CA7F95">
        <w:rPr>
          <w:rFonts w:cs="Times New Roman"/>
        </w:rPr>
        <w:t xml:space="preserve">he non-interpreted seismic </w:t>
      </w:r>
      <w:r>
        <w:rPr>
          <w:rFonts w:cs="Times New Roman"/>
        </w:rPr>
        <w:t xml:space="preserve">profiles are </w:t>
      </w:r>
      <w:r w:rsidRPr="00CA7F95">
        <w:rPr>
          <w:rFonts w:cs="Times New Roman"/>
        </w:rPr>
        <w:t xml:space="preserve">shown in Supplementary Fig. </w:t>
      </w:r>
      <w:r>
        <w:rPr>
          <w:rFonts w:cs="Times New Roman"/>
        </w:rPr>
        <w:t>6.</w:t>
      </w:r>
      <w:bookmarkEnd w:id="0"/>
    </w:p>
    <w:p w14:paraId="14C849A5" w14:textId="77777777" w:rsidR="00DC763F" w:rsidRDefault="00DC763F" w:rsidP="00DC763F">
      <w:pPr>
        <w:rPr>
          <w:rFonts w:cs="Times New Roman"/>
          <w:lang w:val="en-US"/>
        </w:rPr>
      </w:pPr>
      <w:r>
        <w:rPr>
          <w:rFonts w:cs="Times New Roman"/>
          <w:lang w:val="en-US"/>
        </w:rPr>
        <w:br w:type="page"/>
      </w:r>
    </w:p>
    <w:p w14:paraId="62BE0718" w14:textId="77777777" w:rsidR="00DC763F" w:rsidRDefault="00DC763F" w:rsidP="00DC763F">
      <w:pPr>
        <w:jc w:val="both"/>
        <w:rPr>
          <w:rFonts w:cs="Times New Roman"/>
          <w:lang w:val="en-US"/>
        </w:rPr>
      </w:pPr>
      <w:r>
        <w:rPr>
          <w:noProof/>
        </w:rPr>
        <w:lastRenderedPageBreak/>
        <w:drawing>
          <wp:inline distT="0" distB="0" distL="0" distR="0" wp14:anchorId="734F3814" wp14:editId="3604029D">
            <wp:extent cx="5508000" cy="8688380"/>
            <wp:effectExtent l="0" t="0" r="0" b="0"/>
            <wp:docPr id="1" name="图片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 screenshot of a computer scree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08000" cy="8688380"/>
                    </a:xfrm>
                    <a:prstGeom prst="rect">
                      <a:avLst/>
                    </a:prstGeom>
                    <a:noFill/>
                    <a:ln>
                      <a:noFill/>
                    </a:ln>
                  </pic:spPr>
                </pic:pic>
              </a:graphicData>
            </a:graphic>
          </wp:inline>
        </w:drawing>
      </w:r>
    </w:p>
    <w:p w14:paraId="2F2320DA" w14:textId="77777777" w:rsidR="00DC763F" w:rsidRPr="00A311E0" w:rsidRDefault="00DC763F" w:rsidP="00DC763F">
      <w:pPr>
        <w:rPr>
          <w:rFonts w:cs="Times New Roman"/>
          <w:b/>
          <w:bCs/>
          <w:lang w:val="en-US"/>
        </w:rPr>
      </w:pPr>
      <w:r w:rsidRPr="00A311E0">
        <w:rPr>
          <w:rFonts w:cs="Times New Roman"/>
          <w:b/>
          <w:bCs/>
          <w:lang w:val="en-US"/>
        </w:rPr>
        <w:t xml:space="preserve">Extended Data </w:t>
      </w:r>
      <w:r w:rsidRPr="003548BB">
        <w:rPr>
          <w:rFonts w:cs="Times New Roman"/>
          <w:b/>
          <w:bCs/>
        </w:rPr>
        <w:t>Fig</w:t>
      </w:r>
      <w:r>
        <w:rPr>
          <w:rFonts w:cs="Times New Roman"/>
          <w:b/>
          <w:bCs/>
        </w:rPr>
        <w:t>ure</w:t>
      </w:r>
      <w:r w:rsidRPr="00A311E0">
        <w:rPr>
          <w:rFonts w:cs="Times New Roman"/>
          <w:b/>
          <w:bCs/>
          <w:lang w:val="en-US"/>
        </w:rPr>
        <w:t xml:space="preserve"> </w:t>
      </w:r>
      <w:r>
        <w:rPr>
          <w:rFonts w:cs="Times New Roman"/>
          <w:b/>
          <w:bCs/>
          <w:lang w:val="en-US"/>
        </w:rPr>
        <w:t>4</w:t>
      </w:r>
      <w:r w:rsidRPr="00A311E0">
        <w:rPr>
          <w:rFonts w:cs="Times New Roman"/>
          <w:b/>
          <w:bCs/>
          <w:lang w:val="en-US"/>
        </w:rPr>
        <w:t xml:space="preserve"> | See next page for caption.</w:t>
      </w:r>
    </w:p>
    <w:p w14:paraId="71B00BB5" w14:textId="77777777" w:rsidR="00DC763F" w:rsidRDefault="00DC763F" w:rsidP="00DC763F">
      <w:pPr>
        <w:jc w:val="both"/>
        <w:rPr>
          <w:rFonts w:cs="Times New Roman"/>
          <w:noProof/>
        </w:rPr>
      </w:pPr>
      <w:r w:rsidRPr="003548BB">
        <w:rPr>
          <w:rFonts w:cs="Times New Roman"/>
          <w:b/>
          <w:bCs/>
        </w:rPr>
        <w:lastRenderedPageBreak/>
        <w:t xml:space="preserve">Extended Data Figure </w:t>
      </w:r>
      <w:r>
        <w:rPr>
          <w:rFonts w:cs="Times New Roman"/>
          <w:b/>
          <w:bCs/>
        </w:rPr>
        <w:t>4</w:t>
      </w:r>
      <w:r w:rsidRPr="003548BB">
        <w:rPr>
          <w:rFonts w:cs="Times New Roman"/>
          <w:b/>
          <w:bCs/>
        </w:rPr>
        <w:t xml:space="preserve"> | Criteria for the identification of seafloor, lava flows, and lithosphere-asthenosphere boundaries (LABs).</w:t>
      </w:r>
      <w:r w:rsidRPr="003548BB">
        <w:rPr>
          <w:rFonts w:cs="Times New Roman"/>
        </w:rPr>
        <w:t xml:space="preserve"> (a), (b) and (c) show the local seismic profiles, waveforms, instantaneous amplitude, instantaneous phase and spectrogram at the reference traces Xline 2275, 2775 and 3350 in Inline 261 profile. The location of different events is emphasized using the blue (seafloor), </w:t>
      </w:r>
      <w:r>
        <w:rPr>
          <w:rFonts w:cs="Times New Roman"/>
        </w:rPr>
        <w:t xml:space="preserve">yellow </w:t>
      </w:r>
      <w:r w:rsidRPr="003548BB">
        <w:rPr>
          <w:rFonts w:cs="Times New Roman"/>
        </w:rPr>
        <w:t>(lava flow</w:t>
      </w:r>
      <w:r>
        <w:rPr>
          <w:rFonts w:cs="Times New Roman"/>
        </w:rPr>
        <w:t xml:space="preserve">s) </w:t>
      </w:r>
      <w:r w:rsidRPr="003548BB">
        <w:rPr>
          <w:rFonts w:cs="Times New Roman"/>
        </w:rPr>
        <w:t>and red (melt</w:t>
      </w:r>
      <w:r>
        <w:rPr>
          <w:rFonts w:cs="Times New Roman"/>
        </w:rPr>
        <w:t xml:space="preserve"> sills</w:t>
      </w:r>
      <w:r w:rsidRPr="003548BB">
        <w:rPr>
          <w:rFonts w:cs="Times New Roman"/>
        </w:rPr>
        <w:t>)</w:t>
      </w:r>
      <w:r>
        <w:rPr>
          <w:rFonts w:cs="Times New Roman"/>
        </w:rPr>
        <w:t>.</w:t>
      </w:r>
      <w:r w:rsidRPr="003548BB">
        <w:rPr>
          <w:rFonts w:cs="Times New Roman"/>
        </w:rPr>
        <w:t xml:space="preserve"> </w:t>
      </w:r>
      <w:r>
        <w:rPr>
          <w:rFonts w:cs="Times New Roman"/>
        </w:rPr>
        <w:t>W</w:t>
      </w:r>
      <w:r w:rsidRPr="003548BB">
        <w:rPr>
          <w:rFonts w:cs="Times New Roman"/>
        </w:rPr>
        <w:t>hite dashed lines in the spectrogram indicate the wavenumber with the highest energy at different depth.</w:t>
      </w:r>
    </w:p>
    <w:p w14:paraId="09BE07A8" w14:textId="77777777" w:rsidR="00DC763F" w:rsidRDefault="00DC763F" w:rsidP="00DC763F">
      <w:pPr>
        <w:rPr>
          <w:rFonts w:cs="Times New Roman"/>
        </w:rPr>
      </w:pPr>
      <w:r>
        <w:rPr>
          <w:rFonts w:cs="Times New Roman"/>
        </w:rPr>
        <w:br w:type="page"/>
      </w:r>
    </w:p>
    <w:p w14:paraId="5A3876E5" w14:textId="77777777" w:rsidR="00DC763F" w:rsidRPr="003548BB" w:rsidRDefault="00DC763F" w:rsidP="00DC763F">
      <w:pPr>
        <w:jc w:val="both"/>
        <w:rPr>
          <w:rFonts w:cs="Times New Roman"/>
        </w:rPr>
      </w:pPr>
      <w:r>
        <w:rPr>
          <w:noProof/>
        </w:rPr>
        <w:lastRenderedPageBreak/>
        <w:drawing>
          <wp:inline distT="0" distB="0" distL="0" distR="0" wp14:anchorId="1D6D471B" wp14:editId="26C03027">
            <wp:extent cx="5731510" cy="3584575"/>
            <wp:effectExtent l="0" t="0" r="2540" b="0"/>
            <wp:docPr id="9" name="图片 9" descr="A close-up of a cross section of a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A close-up of a cross section of a body&#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584575"/>
                    </a:xfrm>
                    <a:prstGeom prst="rect">
                      <a:avLst/>
                    </a:prstGeom>
                    <a:noFill/>
                    <a:ln>
                      <a:noFill/>
                    </a:ln>
                  </pic:spPr>
                </pic:pic>
              </a:graphicData>
            </a:graphic>
          </wp:inline>
        </w:drawing>
      </w:r>
    </w:p>
    <w:p w14:paraId="4336183E" w14:textId="77777777" w:rsidR="00DC763F" w:rsidRPr="00637E42" w:rsidRDefault="00DC763F" w:rsidP="00DC763F">
      <w:pPr>
        <w:jc w:val="both"/>
        <w:rPr>
          <w:rFonts w:cs="Times New Roman"/>
          <w:vertAlign w:val="superscript"/>
          <w:lang w:val="en-US" w:eastAsia="en-CA"/>
        </w:rPr>
      </w:pPr>
      <w:r w:rsidRPr="003548BB">
        <w:rPr>
          <w:rFonts w:cs="Times New Roman"/>
          <w:b/>
          <w:bCs/>
        </w:rPr>
        <w:t>Extended Data Fig</w:t>
      </w:r>
      <w:r>
        <w:rPr>
          <w:rFonts w:cs="Times New Roman"/>
          <w:b/>
          <w:bCs/>
        </w:rPr>
        <w:t>ure</w:t>
      </w:r>
      <w:r w:rsidRPr="003548BB">
        <w:rPr>
          <w:rFonts w:cs="Times New Roman"/>
          <w:b/>
          <w:bCs/>
        </w:rPr>
        <w:t xml:space="preserve"> </w:t>
      </w:r>
      <w:r>
        <w:rPr>
          <w:rFonts w:cs="Times New Roman"/>
          <w:b/>
          <w:bCs/>
        </w:rPr>
        <w:t>5</w:t>
      </w:r>
      <w:r w:rsidRPr="003548BB">
        <w:rPr>
          <w:rFonts w:cs="Times New Roman"/>
          <w:b/>
          <w:bCs/>
        </w:rPr>
        <w:t xml:space="preserve"> | Seismic image along Xline profile 2801:</w:t>
      </w:r>
      <w:r w:rsidRPr="003548BB">
        <w:rPr>
          <w:rFonts w:cs="Times New Roman"/>
        </w:rPr>
        <w:t xml:space="preserve"> </w:t>
      </w:r>
      <w:bookmarkStart w:id="1" w:name="_Hlk197697405"/>
      <w:r w:rsidRPr="003548BB">
        <w:rPr>
          <w:rFonts w:cs="Times New Roman"/>
        </w:rPr>
        <w:t>Seismic image showing inflation (convex</w:t>
      </w:r>
      <w:r>
        <w:rPr>
          <w:rFonts w:cs="Times New Roman"/>
        </w:rPr>
        <w:t>, red arrow</w:t>
      </w:r>
      <w:r w:rsidRPr="003548BB">
        <w:rPr>
          <w:rFonts w:cs="Times New Roman"/>
        </w:rPr>
        <w:t>) and deflation (concave</w:t>
      </w:r>
      <w:r>
        <w:rPr>
          <w:rFonts w:cs="Times New Roman"/>
        </w:rPr>
        <w:t>, blue arrow</w:t>
      </w:r>
      <w:r w:rsidRPr="003548BB">
        <w:rPr>
          <w:rFonts w:cs="Times New Roman"/>
        </w:rPr>
        <w:t>) of melt sills leading to uplift and subsidence of lava flows. Note the merging of lava flows with melt sills around Inline 301 at ~3.5 km depth.</w:t>
      </w:r>
      <w:bookmarkEnd w:id="1"/>
      <w:r>
        <w:rPr>
          <w:rFonts w:cs="Times New Roman"/>
        </w:rPr>
        <w:t xml:space="preserve"> </w:t>
      </w:r>
      <w:r w:rsidRPr="00D51A4F">
        <w:rPr>
          <w:rFonts w:cs="Times New Roman"/>
          <w:lang w:eastAsia="en-CA"/>
        </w:rPr>
        <w:t xml:space="preserve">Locations of hydrothermal fields </w:t>
      </w:r>
      <w:r>
        <w:rPr>
          <w:rFonts w:cs="Times New Roman"/>
          <w:lang w:eastAsia="en-CA"/>
        </w:rPr>
        <w:t xml:space="preserve">are shown as </w:t>
      </w:r>
      <w:r w:rsidRPr="00D51A4F">
        <w:rPr>
          <w:rFonts w:cs="Times New Roman"/>
          <w:lang w:eastAsia="en-CA"/>
        </w:rPr>
        <w:t>small, magenta-filled triangles</w:t>
      </w:r>
      <w:r>
        <w:rPr>
          <w:rFonts w:cs="Times New Roman"/>
          <w:vertAlign w:val="superscript"/>
          <w:lang w:eastAsia="en-CA"/>
        </w:rPr>
        <w:fldChar w:fldCharType="begin"/>
      </w:r>
      <w:r>
        <w:rPr>
          <w:rFonts w:cs="Times New Roman"/>
          <w:vertAlign w:val="superscript"/>
          <w:lang w:eastAsia="en-CA"/>
        </w:rPr>
        <w:instrText xml:space="preserve"> ADDIN ZOTERO_ITEM CSL_CITATION {"citationID":"zgQJapM6","properties":{"formattedCitation":"\\super 18\\nosupersub{}","plainCitation":"18","noteIndex":0},"citationItems":[{"id":2560,"uris":["http://zotero.org/users/9382076/items/UZ29DDV4"],"itemData":{"id":2560,"type":"article-journal","abstract":"Mid</w:instrText>
      </w:r>
      <w:r>
        <w:rPr>
          <w:rFonts w:cs="Times New Roman" w:hint="eastAsia"/>
          <w:vertAlign w:val="superscript"/>
          <w:lang w:eastAsia="en-CA"/>
        </w:rPr>
        <w:instrText>‐</w:instrText>
      </w:r>
      <w:r>
        <w:rPr>
          <w:rFonts w:cs="Times New Roman"/>
          <w:vertAlign w:val="superscript"/>
          <w:lang w:eastAsia="en-CA"/>
        </w:rPr>
        <w:instrText>ocean ridge eruptions, initiating or revitalizing hydrothermal discharge and disrupting seaﬂoor ecosystems, occur regularly as a consequence of plate spreading. Evaluating their impact on long</w:instrText>
      </w:r>
      <w:r>
        <w:rPr>
          <w:rFonts w:cs="Times New Roman" w:hint="eastAsia"/>
          <w:vertAlign w:val="superscript"/>
          <w:lang w:eastAsia="en-CA"/>
        </w:rPr>
        <w:instrText>‐</w:instrText>
      </w:r>
      <w:r>
        <w:rPr>
          <w:rFonts w:cs="Times New Roman"/>
          <w:vertAlign w:val="superscript"/>
          <w:lang w:eastAsia="en-CA"/>
        </w:rPr>
        <w:instrText>term hydrothermal discharge requires information on the scale and duration of any posteruption enhancement. Here we describe a unique hydrothermal plume time series of annual (or more frequent) observations at Axial Seamount vent ﬁelds from 1985 through 2017, missing only 7 years. Axial, a hot spot volcano astride the Juan de Fuca Ridge, experienced eruptions in 1998, 2011, and 2015. In 1998 and 2011 lava ﬂooded the SE caldera and south rift zone, but in 2015 most lava was extruded in a series of ﬂows extending ~20 km down the north rift zone. Response cruises occurred within 18 days (1998) to about 4 months, followed by regular posteruption observations. All 30 cruises measured plume rise height (a proxy for heat ﬂux) and turbidity (indicative of chemical changes in vent discharge) at several vent sites, yielding an integrated view of vent ﬁeld activity. Venting in the SE caldera area persisted throughout the time series, consistent with the imaged location of the shallowest portion of the melt</w:instrText>
      </w:r>
      <w:r>
        <w:rPr>
          <w:rFonts w:cs="Times New Roman" w:hint="eastAsia"/>
          <w:vertAlign w:val="superscript"/>
          <w:lang w:eastAsia="en-CA"/>
        </w:rPr>
        <w:instrText>‐</w:instrText>
      </w:r>
      <w:r>
        <w:rPr>
          <w:rFonts w:cs="Times New Roman"/>
          <w:vertAlign w:val="superscript"/>
          <w:lang w:eastAsia="en-CA"/>
        </w:rPr>
        <w:instrText>rich magma reservoir. Eruptions produced substantial and diagnostic increases in plume rise and turbidity, and posteruption enhancements lasted 2–5 years, totaling ~10 years over the course of the time series. Estimates of the relative heat ﬂux indicate a sixfold increase during eruption</w:instrText>
      </w:r>
      <w:r>
        <w:rPr>
          <w:rFonts w:cs="Times New Roman" w:hint="eastAsia"/>
          <w:vertAlign w:val="superscript"/>
          <w:lang w:eastAsia="en-CA"/>
        </w:rPr>
        <w:instrText>‐</w:instrText>
      </w:r>
      <w:r>
        <w:rPr>
          <w:rFonts w:cs="Times New Roman"/>
          <w:vertAlign w:val="superscript"/>
          <w:lang w:eastAsia="en-CA"/>
        </w:rPr>
        <w:instrText>enhanced periods, implying that generalizations about mid</w:instrText>
      </w:r>
      <w:r>
        <w:rPr>
          <w:rFonts w:cs="Times New Roman" w:hint="eastAsia"/>
          <w:vertAlign w:val="superscript"/>
          <w:lang w:eastAsia="en-CA"/>
        </w:rPr>
        <w:instrText>‐</w:instrText>
      </w:r>
      <w:r>
        <w:rPr>
          <w:rFonts w:cs="Times New Roman"/>
          <w:vertAlign w:val="superscript"/>
          <w:lang w:eastAsia="en-CA"/>
        </w:rPr>
        <w:instrText>ocean ridge hydrothermal ﬂuxes may be underestimates if based on non–eruption</w:instrText>
      </w:r>
      <w:r>
        <w:rPr>
          <w:rFonts w:cs="Times New Roman" w:hint="eastAsia"/>
          <w:vertAlign w:val="superscript"/>
          <w:lang w:eastAsia="en-CA"/>
        </w:rPr>
        <w:instrText>‐</w:instrText>
      </w:r>
      <w:r>
        <w:rPr>
          <w:rFonts w:cs="Times New Roman"/>
          <w:vertAlign w:val="superscript"/>
          <w:lang w:eastAsia="en-CA"/>
        </w:rPr>
        <w:instrText>enhanced hydrothermal activity alone. Plain Language Summary We use a three</w:instrText>
      </w:r>
      <w:r>
        <w:rPr>
          <w:rFonts w:cs="Times New Roman" w:hint="eastAsia"/>
          <w:vertAlign w:val="superscript"/>
          <w:lang w:eastAsia="en-CA"/>
        </w:rPr>
        <w:instrText>‐</w:instrText>
      </w:r>
      <w:r>
        <w:rPr>
          <w:rFonts w:cs="Times New Roman"/>
          <w:vertAlign w:val="superscript"/>
          <w:lang w:eastAsia="en-CA"/>
        </w:rPr>
        <w:instrText>decade</w:instrText>
      </w:r>
      <w:r>
        <w:rPr>
          <w:rFonts w:cs="Times New Roman" w:hint="eastAsia"/>
          <w:vertAlign w:val="superscript"/>
          <w:lang w:eastAsia="en-CA"/>
        </w:rPr>
        <w:instrText>‐</w:instrText>
      </w:r>
      <w:r>
        <w:rPr>
          <w:rFonts w:cs="Times New Roman"/>
          <w:vertAlign w:val="superscript"/>
          <w:lang w:eastAsia="en-CA"/>
        </w:rPr>
        <w:instrText>long time series to understand how seaﬂoor volcanic eruptions affect hydrothermal venting. Axial Seamount, 1,400 m deep and about 400 km off the coast of Washington state, has erupted in 1998, 2011, and 2015. Each eruption caused a substantial increase, lasting 2 to 5 years, in the discharge of hot ﬂuids and chemicals from the seaﬂoor. These eruption periods thus contributed more heat and chemicals to the ocean than the 20 years with no eruption activity. Seaﬂoor eruptions may thus play a more important role in hydrothermal venting than previously expected.","container-title":"Geochemistry, Geophysics, Geosystems","DOI":"10.1029/2018gc007802","ISSN":"1525-2027, 1525-2027","issue":"2","journalAbbreviation":"Geochem Geophys Geosyst","language":"en","license":"http://onlinelibrary.wiley.com/termsAndConditions#am","note":"publisher: American Geophysical Union (AGU)","page":"814-828","source":"Crossref","title":"Posteruption Enhancement of Hydrothermal Activity: A 33</w:instrText>
      </w:r>
      <w:r>
        <w:rPr>
          <w:rFonts w:cs="Times New Roman" w:hint="eastAsia"/>
          <w:vertAlign w:val="superscript"/>
          <w:lang w:eastAsia="en-CA"/>
        </w:rPr>
        <w:instrText>‐</w:instrText>
      </w:r>
      <w:r>
        <w:rPr>
          <w:rFonts w:cs="Times New Roman"/>
          <w:vertAlign w:val="superscript"/>
          <w:lang w:eastAsia="en-CA"/>
        </w:rPr>
        <w:instrText xml:space="preserve">Year, Multieruption Time Series at Axial Seamount (Juan de Fuca Ridge)","title-short":"Posteruption Enhancement of Hydrothermal Activity","volume":"20","author":[{"family":"Baker","given":"Edward T."},{"family":"Walker","given":"Sharon L."},{"family":"Chadwick","given":"William W."},{"family":"Butterfield","given":"David A."},{"family":"Buck","given":"Nathaniel J."},{"family":"Resing","given":"Joseph A."}],"issued":{"date-parts":[["2019",2]]}}}],"schema":"https://github.com/citation-style-language/schema/raw/master/csl-citation.json"} </w:instrText>
      </w:r>
      <w:r>
        <w:rPr>
          <w:rFonts w:cs="Times New Roman"/>
          <w:vertAlign w:val="superscript"/>
          <w:lang w:eastAsia="en-CA"/>
        </w:rPr>
        <w:fldChar w:fldCharType="separate"/>
      </w:r>
      <w:r w:rsidRPr="00EF5FDC">
        <w:rPr>
          <w:rFonts w:cs="Times New Roman"/>
          <w:kern w:val="0"/>
          <w:vertAlign w:val="superscript"/>
        </w:rPr>
        <w:t>18</w:t>
      </w:r>
      <w:r>
        <w:rPr>
          <w:rFonts w:cs="Times New Roman"/>
          <w:vertAlign w:val="superscript"/>
          <w:lang w:eastAsia="en-CA"/>
        </w:rPr>
        <w:fldChar w:fldCharType="end"/>
      </w:r>
      <w:r>
        <w:rPr>
          <w:rFonts w:cs="Times New Roman"/>
          <w:lang w:eastAsia="en-CA"/>
        </w:rPr>
        <w:t xml:space="preserve">. </w:t>
      </w:r>
      <w:r w:rsidRPr="00D51A4F">
        <w:rPr>
          <w:rFonts w:cs="Times New Roman"/>
          <w:lang w:eastAsia="en-CA"/>
        </w:rPr>
        <w:t xml:space="preserve">Outlines of the </w:t>
      </w:r>
      <w:r>
        <w:rPr>
          <w:rFonts w:cs="Times New Roman"/>
          <w:lang w:eastAsia="en-CA"/>
        </w:rPr>
        <w:t xml:space="preserve">1998 </w:t>
      </w:r>
      <w:r w:rsidRPr="00D51A4F">
        <w:rPr>
          <w:rFonts w:cs="Times New Roman"/>
          <w:lang w:eastAsia="en-CA"/>
        </w:rPr>
        <w:t>(</w:t>
      </w:r>
      <w:r>
        <w:rPr>
          <w:rFonts w:cs="Times New Roman"/>
          <w:lang w:eastAsia="en-CA"/>
        </w:rPr>
        <w:t>blue</w:t>
      </w:r>
      <w:r w:rsidRPr="00D51A4F">
        <w:rPr>
          <w:rFonts w:cs="Times New Roman"/>
          <w:lang w:eastAsia="en-CA"/>
        </w:rPr>
        <w:t>)</w:t>
      </w:r>
      <w:r>
        <w:rPr>
          <w:rFonts w:cs="Times New Roman"/>
          <w:lang w:eastAsia="en-CA"/>
        </w:rPr>
        <w:t xml:space="preserve"> and </w:t>
      </w:r>
      <w:r w:rsidRPr="00D51A4F">
        <w:rPr>
          <w:rFonts w:cs="Times New Roman"/>
          <w:lang w:eastAsia="en-CA"/>
        </w:rPr>
        <w:t>2015 (green) eruption lava flows</w:t>
      </w:r>
      <w:r>
        <w:rPr>
          <w:rFonts w:cs="Times New Roman"/>
          <w:lang w:eastAsia="en-CA"/>
        </w:rPr>
        <w:t xml:space="preserve"> is</w:t>
      </w:r>
      <w:r w:rsidRPr="00D51A4F">
        <w:rPr>
          <w:rFonts w:cs="Times New Roman"/>
          <w:lang w:eastAsia="en-CA"/>
        </w:rPr>
        <w:t xml:space="preserve"> overlain on the bathymetric map</w:t>
      </w:r>
      <w:r>
        <w:rPr>
          <w:rFonts w:cs="Times New Roman"/>
          <w:kern w:val="0"/>
          <w:vertAlign w:val="superscript"/>
        </w:rPr>
        <w:t>56-58</w:t>
      </w:r>
      <w:r w:rsidRPr="00637E42">
        <w:rPr>
          <w:rFonts w:cs="Times New Roman"/>
          <w:lang w:val="en-US" w:eastAsia="en-CA"/>
        </w:rPr>
        <w:t>.</w:t>
      </w:r>
      <w:r>
        <w:rPr>
          <w:rFonts w:cs="Times New Roman"/>
          <w:lang w:val="en-US" w:eastAsia="en-CA"/>
        </w:rPr>
        <w:t xml:space="preserve"> </w:t>
      </w:r>
      <w:bookmarkStart w:id="2" w:name="_Hlk197532117"/>
      <w:r>
        <w:rPr>
          <w:rFonts w:cs="Times New Roman"/>
        </w:rPr>
        <w:t>T</w:t>
      </w:r>
      <w:r w:rsidRPr="00CA7F95">
        <w:rPr>
          <w:rFonts w:cs="Times New Roman"/>
        </w:rPr>
        <w:t xml:space="preserve">he non-interpreted seismic </w:t>
      </w:r>
      <w:r>
        <w:rPr>
          <w:rFonts w:cs="Times New Roman"/>
        </w:rPr>
        <w:t xml:space="preserve">profile is </w:t>
      </w:r>
      <w:r w:rsidRPr="00CA7F95">
        <w:rPr>
          <w:rFonts w:cs="Times New Roman"/>
        </w:rPr>
        <w:t xml:space="preserve">shown in Supplementary Fig. </w:t>
      </w:r>
      <w:r>
        <w:rPr>
          <w:rFonts w:cs="Times New Roman"/>
        </w:rPr>
        <w:t>7.</w:t>
      </w:r>
      <w:bookmarkEnd w:id="2"/>
    </w:p>
    <w:p w14:paraId="0D4CCF54" w14:textId="77777777" w:rsidR="00DC763F" w:rsidRDefault="00DC763F" w:rsidP="00DC763F">
      <w:pPr>
        <w:rPr>
          <w:rFonts w:cs="Times New Roman"/>
          <w:lang w:val="en-US"/>
        </w:rPr>
      </w:pPr>
      <w:r>
        <w:rPr>
          <w:rFonts w:cs="Times New Roman"/>
          <w:lang w:val="en-US"/>
        </w:rPr>
        <w:br w:type="page"/>
      </w:r>
    </w:p>
    <w:p w14:paraId="56BA83F5" w14:textId="77777777" w:rsidR="00DC763F" w:rsidRPr="00637E42" w:rsidRDefault="00DC763F" w:rsidP="00DC763F">
      <w:pPr>
        <w:jc w:val="both"/>
        <w:rPr>
          <w:rFonts w:cs="Times New Roman"/>
          <w:lang w:val="en-US"/>
        </w:rPr>
      </w:pPr>
      <w:r>
        <w:rPr>
          <w:noProof/>
        </w:rPr>
        <w:lastRenderedPageBreak/>
        <w:drawing>
          <wp:inline distT="0" distB="0" distL="0" distR="0" wp14:anchorId="2DDE82C5" wp14:editId="3BAAE92D">
            <wp:extent cx="5731510" cy="2414905"/>
            <wp:effectExtent l="0" t="0" r="2540" b="4445"/>
            <wp:docPr id="20" name="图片 20" descr="A close-up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A close-up of a map&#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414905"/>
                    </a:xfrm>
                    <a:prstGeom prst="rect">
                      <a:avLst/>
                    </a:prstGeom>
                    <a:noFill/>
                    <a:ln>
                      <a:noFill/>
                    </a:ln>
                  </pic:spPr>
                </pic:pic>
              </a:graphicData>
            </a:graphic>
          </wp:inline>
        </w:drawing>
      </w:r>
    </w:p>
    <w:p w14:paraId="4C6541EB" w14:textId="77777777" w:rsidR="00DC763F" w:rsidRPr="00C10BAD" w:rsidRDefault="00DC763F" w:rsidP="00DC763F">
      <w:pPr>
        <w:jc w:val="both"/>
        <w:rPr>
          <w:noProof/>
          <w:lang w:val="en-US"/>
        </w:rPr>
      </w:pPr>
      <w:r w:rsidRPr="00A24E8B">
        <w:rPr>
          <w:rFonts w:cs="Times New Roman"/>
          <w:b/>
          <w:bCs/>
        </w:rPr>
        <w:t xml:space="preserve">Extended Data Figure </w:t>
      </w:r>
      <w:r>
        <w:rPr>
          <w:rFonts w:cs="Times New Roman"/>
          <w:b/>
          <w:bCs/>
        </w:rPr>
        <w:t>6 |</w:t>
      </w:r>
      <w:r w:rsidRPr="00A24E8B">
        <w:rPr>
          <w:rFonts w:cs="Times New Roman"/>
          <w:b/>
          <w:bCs/>
        </w:rPr>
        <w:t xml:space="preserve"> </w:t>
      </w:r>
      <w:r>
        <w:rPr>
          <w:rFonts w:cs="Times New Roman"/>
          <w:b/>
          <w:bCs/>
          <w:lang w:eastAsia="zh-CN"/>
        </w:rPr>
        <w:t xml:space="preserve">FWI result </w:t>
      </w:r>
      <w:bookmarkStart w:id="3" w:name="_Hlk197696358"/>
      <w:r>
        <w:rPr>
          <w:rFonts w:cs="Times New Roman"/>
          <w:b/>
          <w:bCs/>
          <w:lang w:eastAsia="zh-CN"/>
        </w:rPr>
        <w:t>overlain on 3D PSDM result</w:t>
      </w:r>
      <w:bookmarkEnd w:id="3"/>
      <w:r w:rsidRPr="00A24E8B">
        <w:rPr>
          <w:rFonts w:cs="Times New Roman"/>
          <w:b/>
          <w:bCs/>
        </w:rPr>
        <w:t>.</w:t>
      </w:r>
      <w:r w:rsidRPr="003548BB">
        <w:rPr>
          <w:rFonts w:cs="Times New Roman"/>
        </w:rPr>
        <w:t xml:space="preserve"> The </w:t>
      </w:r>
      <w:r>
        <w:rPr>
          <w:rFonts w:cs="Times New Roman"/>
        </w:rPr>
        <w:t xml:space="preserve">conventional </w:t>
      </w:r>
      <w:r w:rsidRPr="003548BB">
        <w:rPr>
          <w:rFonts w:cs="Times New Roman"/>
        </w:rPr>
        <w:t xml:space="preserve">Layer 2A/2B boundary is </w:t>
      </w:r>
      <w:r>
        <w:rPr>
          <w:rFonts w:cs="Times New Roman"/>
        </w:rPr>
        <w:t>indicated by</w:t>
      </w:r>
      <w:r w:rsidRPr="003548BB">
        <w:rPr>
          <w:rFonts w:cs="Times New Roman"/>
        </w:rPr>
        <w:t xml:space="preserve"> black dashed line.</w:t>
      </w:r>
      <w:r>
        <w:rPr>
          <w:rFonts w:cs="Times New Roman"/>
        </w:rPr>
        <w:t xml:space="preserve"> </w:t>
      </w:r>
      <w:r w:rsidRPr="00D51A4F">
        <w:rPr>
          <w:rFonts w:cs="Times New Roman"/>
          <w:lang w:eastAsia="en-CA"/>
        </w:rPr>
        <w:t xml:space="preserve">Locations of hydrothermal fields </w:t>
      </w:r>
      <w:r>
        <w:rPr>
          <w:rFonts w:cs="Times New Roman"/>
          <w:lang w:eastAsia="en-CA"/>
        </w:rPr>
        <w:t xml:space="preserve">are shown as </w:t>
      </w:r>
      <w:r w:rsidRPr="00D51A4F">
        <w:rPr>
          <w:rFonts w:cs="Times New Roman"/>
          <w:lang w:eastAsia="en-CA"/>
        </w:rPr>
        <w:t>small, magenta-filled triangles</w:t>
      </w:r>
      <w:r>
        <w:rPr>
          <w:rFonts w:cs="Times New Roman"/>
          <w:vertAlign w:val="superscript"/>
          <w:lang w:eastAsia="en-CA"/>
        </w:rPr>
        <w:fldChar w:fldCharType="begin"/>
      </w:r>
      <w:r>
        <w:rPr>
          <w:rFonts w:cs="Times New Roman"/>
          <w:vertAlign w:val="superscript"/>
          <w:lang w:eastAsia="en-CA"/>
        </w:rPr>
        <w:instrText xml:space="preserve"> ADDIN ZOTERO_ITEM CSL_CITATION {"citationID":"2HERuN5G","properties":{"formattedCitation":"\\super 18\\nosupersub{}","plainCitation":"18","noteIndex":0},"citationItems":[{"id":2560,"uris":["http://zotero.org/users/9382076/items/UZ29DDV4"],"itemData":{"id":2560,"type":"article-journal","abstract":"Mid</w:instrText>
      </w:r>
      <w:r>
        <w:rPr>
          <w:rFonts w:cs="Times New Roman" w:hint="eastAsia"/>
          <w:vertAlign w:val="superscript"/>
          <w:lang w:eastAsia="en-CA"/>
        </w:rPr>
        <w:instrText>‐</w:instrText>
      </w:r>
      <w:r>
        <w:rPr>
          <w:rFonts w:cs="Times New Roman"/>
          <w:vertAlign w:val="superscript"/>
          <w:lang w:eastAsia="en-CA"/>
        </w:rPr>
        <w:instrText>ocean ridge eruptions, initiating or revitalizing hydrothermal discharge and disrupting seaﬂoor ecosystems, occur regularly as a consequence of plate spreading. Evaluating their impact on long</w:instrText>
      </w:r>
      <w:r>
        <w:rPr>
          <w:rFonts w:cs="Times New Roman" w:hint="eastAsia"/>
          <w:vertAlign w:val="superscript"/>
          <w:lang w:eastAsia="en-CA"/>
        </w:rPr>
        <w:instrText>‐</w:instrText>
      </w:r>
      <w:r>
        <w:rPr>
          <w:rFonts w:cs="Times New Roman"/>
          <w:vertAlign w:val="superscript"/>
          <w:lang w:eastAsia="en-CA"/>
        </w:rPr>
        <w:instrText>term hydrothermal discharge requires information on the scale and duration of any posteruption enhancement. Here we describe a unique hydrothermal plume time series of annual (or more frequent) observations at Axial Seamount vent ﬁelds from 1985 through 2017, missing only 7 years. Axial, a hot spot volcano astride the Juan de Fuca Ridge, experienced eruptions in 1998, 2011, and 2015. In 1998 and 2011 lava ﬂooded the SE caldera and south rift zone, but in 2015 most lava was extruded in a series of ﬂows extending ~20 km down the north rift zone. Response cruises occurred within 18 days (1998) to about 4 months, followed by regular posteruption observations. All 30 cruises measured plume rise height (a proxy for heat ﬂux) and turbidity (indicative of chemical changes in vent discharge) at several vent sites, yielding an integrated view of vent ﬁeld activity. Venting in the SE caldera area persisted throughout the time series, consistent with the imaged location of the shallowest portion of the melt</w:instrText>
      </w:r>
      <w:r>
        <w:rPr>
          <w:rFonts w:cs="Times New Roman" w:hint="eastAsia"/>
          <w:vertAlign w:val="superscript"/>
          <w:lang w:eastAsia="en-CA"/>
        </w:rPr>
        <w:instrText>‐</w:instrText>
      </w:r>
      <w:r>
        <w:rPr>
          <w:rFonts w:cs="Times New Roman"/>
          <w:vertAlign w:val="superscript"/>
          <w:lang w:eastAsia="en-CA"/>
        </w:rPr>
        <w:instrText>rich magma reservoir. Eruptions produced substantial and diagnostic increases in plume rise and turbidity, and posteruption enhancements lasted 2–5 years, totaling ~10 years over the course of the time series. Estimates of the relative heat ﬂux indicate a sixfold increase during eruption</w:instrText>
      </w:r>
      <w:r>
        <w:rPr>
          <w:rFonts w:cs="Times New Roman" w:hint="eastAsia"/>
          <w:vertAlign w:val="superscript"/>
          <w:lang w:eastAsia="en-CA"/>
        </w:rPr>
        <w:instrText>‐</w:instrText>
      </w:r>
      <w:r>
        <w:rPr>
          <w:rFonts w:cs="Times New Roman"/>
          <w:vertAlign w:val="superscript"/>
          <w:lang w:eastAsia="en-CA"/>
        </w:rPr>
        <w:instrText>enhanced periods, implying that generalizations about mid</w:instrText>
      </w:r>
      <w:r>
        <w:rPr>
          <w:rFonts w:cs="Times New Roman" w:hint="eastAsia"/>
          <w:vertAlign w:val="superscript"/>
          <w:lang w:eastAsia="en-CA"/>
        </w:rPr>
        <w:instrText>‐</w:instrText>
      </w:r>
      <w:r>
        <w:rPr>
          <w:rFonts w:cs="Times New Roman"/>
          <w:vertAlign w:val="superscript"/>
          <w:lang w:eastAsia="en-CA"/>
        </w:rPr>
        <w:instrText>ocean ridge hydrothermal ﬂuxes may be underestimates if based on non–eruption</w:instrText>
      </w:r>
      <w:r>
        <w:rPr>
          <w:rFonts w:cs="Times New Roman" w:hint="eastAsia"/>
          <w:vertAlign w:val="superscript"/>
          <w:lang w:eastAsia="en-CA"/>
        </w:rPr>
        <w:instrText>‐</w:instrText>
      </w:r>
      <w:r>
        <w:rPr>
          <w:rFonts w:cs="Times New Roman"/>
          <w:vertAlign w:val="superscript"/>
          <w:lang w:eastAsia="en-CA"/>
        </w:rPr>
        <w:instrText>enhanced hydrothermal activity alone. Plain Language Summary We use a three</w:instrText>
      </w:r>
      <w:r>
        <w:rPr>
          <w:rFonts w:cs="Times New Roman" w:hint="eastAsia"/>
          <w:vertAlign w:val="superscript"/>
          <w:lang w:eastAsia="en-CA"/>
        </w:rPr>
        <w:instrText>‐</w:instrText>
      </w:r>
      <w:r>
        <w:rPr>
          <w:rFonts w:cs="Times New Roman"/>
          <w:vertAlign w:val="superscript"/>
          <w:lang w:eastAsia="en-CA"/>
        </w:rPr>
        <w:instrText>decade</w:instrText>
      </w:r>
      <w:r>
        <w:rPr>
          <w:rFonts w:cs="Times New Roman" w:hint="eastAsia"/>
          <w:vertAlign w:val="superscript"/>
          <w:lang w:eastAsia="en-CA"/>
        </w:rPr>
        <w:instrText>‐</w:instrText>
      </w:r>
      <w:r>
        <w:rPr>
          <w:rFonts w:cs="Times New Roman"/>
          <w:vertAlign w:val="superscript"/>
          <w:lang w:eastAsia="en-CA"/>
        </w:rPr>
        <w:instrText>long time series to understand how seaﬂoor volcanic eruptions affect hydrothermal venting. Axial Seamount, 1,400 m deep and about 400 km off the coast of Washington state, has erupted in 1998, 2011, and 2015. Each eruption caused a substantial increase, lasting 2 to 5 years, in the discharge of hot ﬂuids and chemicals from the seaﬂoor. These eruption periods thus contributed more heat and chemicals to the ocean than the 20 years with no eruption activity. Seaﬂoor eruptions may thus play a more important role in hydrothermal venting than previously expected.","container-title":"Geochemistry, Geophysics, Geosystems","DOI":"10.1029/2018gc007802","ISSN":"1525-2027, 1525-2027","issue":"2","journalAbbreviation":"Geochem Geophys Geosyst","language":"en","license":"http://onlinelibrary.wiley.com/termsAndConditions#am","note":"publisher: American Geophysical Union (AGU)","page":"814-828","source":"Crossref","title":"Posteruption Enhancement of Hydrothermal Activity: A 33</w:instrText>
      </w:r>
      <w:r>
        <w:rPr>
          <w:rFonts w:cs="Times New Roman" w:hint="eastAsia"/>
          <w:vertAlign w:val="superscript"/>
          <w:lang w:eastAsia="en-CA"/>
        </w:rPr>
        <w:instrText>‐</w:instrText>
      </w:r>
      <w:r>
        <w:rPr>
          <w:rFonts w:cs="Times New Roman"/>
          <w:vertAlign w:val="superscript"/>
          <w:lang w:eastAsia="en-CA"/>
        </w:rPr>
        <w:instrText xml:space="preserve">Year, Multieruption Time Series at Axial Seamount (Juan de Fuca Ridge)","title-short":"Posteruption Enhancement of Hydrothermal Activity","volume":"20","author":[{"family":"Baker","given":"Edward T."},{"family":"Walker","given":"Sharon L."},{"family":"Chadwick","given":"William W."},{"family":"Butterfield","given":"David A."},{"family":"Buck","given":"Nathaniel J."},{"family":"Resing","given":"Joseph A."}],"issued":{"date-parts":[["2019",2]]}}}],"schema":"https://github.com/citation-style-language/schema/raw/master/csl-citation.json"} </w:instrText>
      </w:r>
      <w:r>
        <w:rPr>
          <w:rFonts w:cs="Times New Roman"/>
          <w:vertAlign w:val="superscript"/>
          <w:lang w:eastAsia="en-CA"/>
        </w:rPr>
        <w:fldChar w:fldCharType="separate"/>
      </w:r>
      <w:r w:rsidRPr="00EF5FDC">
        <w:rPr>
          <w:rFonts w:cs="Times New Roman"/>
          <w:kern w:val="0"/>
          <w:vertAlign w:val="superscript"/>
        </w:rPr>
        <w:t>18</w:t>
      </w:r>
      <w:r>
        <w:rPr>
          <w:rFonts w:cs="Times New Roman"/>
          <w:vertAlign w:val="superscript"/>
          <w:lang w:eastAsia="en-CA"/>
        </w:rPr>
        <w:fldChar w:fldCharType="end"/>
      </w:r>
      <w:r>
        <w:rPr>
          <w:rFonts w:cs="Times New Roman"/>
          <w:lang w:eastAsia="en-CA"/>
        </w:rPr>
        <w:t xml:space="preserve">. </w:t>
      </w:r>
      <w:r w:rsidRPr="00D51A4F">
        <w:rPr>
          <w:rFonts w:cs="Times New Roman"/>
          <w:lang w:eastAsia="en-CA"/>
        </w:rPr>
        <w:t xml:space="preserve">Outlines of the </w:t>
      </w:r>
      <w:r>
        <w:rPr>
          <w:rFonts w:cs="Times New Roman"/>
          <w:lang w:eastAsia="en-CA"/>
        </w:rPr>
        <w:t xml:space="preserve">1998 </w:t>
      </w:r>
      <w:r w:rsidRPr="00D51A4F">
        <w:rPr>
          <w:rFonts w:cs="Times New Roman"/>
          <w:lang w:eastAsia="en-CA"/>
        </w:rPr>
        <w:t>(</w:t>
      </w:r>
      <w:r>
        <w:rPr>
          <w:rFonts w:cs="Times New Roman"/>
          <w:lang w:eastAsia="en-CA"/>
        </w:rPr>
        <w:t>blue</w:t>
      </w:r>
      <w:r w:rsidRPr="00D51A4F">
        <w:rPr>
          <w:rFonts w:cs="Times New Roman"/>
          <w:lang w:eastAsia="en-CA"/>
        </w:rPr>
        <w:t>)</w:t>
      </w:r>
      <w:r>
        <w:rPr>
          <w:rFonts w:cs="Times New Roman"/>
          <w:lang w:eastAsia="en-CA"/>
        </w:rPr>
        <w:t xml:space="preserve"> and </w:t>
      </w:r>
      <w:r w:rsidRPr="00D51A4F">
        <w:rPr>
          <w:rFonts w:cs="Times New Roman"/>
          <w:lang w:eastAsia="en-CA"/>
        </w:rPr>
        <w:t>2015 (green) eruption lava flows</w:t>
      </w:r>
      <w:r>
        <w:rPr>
          <w:rFonts w:cs="Times New Roman"/>
          <w:lang w:eastAsia="en-CA"/>
        </w:rPr>
        <w:t xml:space="preserve"> is</w:t>
      </w:r>
      <w:r w:rsidRPr="00D51A4F">
        <w:rPr>
          <w:rFonts w:cs="Times New Roman"/>
          <w:lang w:eastAsia="en-CA"/>
        </w:rPr>
        <w:t xml:space="preserve"> overlain on the bathymetric map</w:t>
      </w:r>
      <w:r>
        <w:rPr>
          <w:rFonts w:cs="Times New Roman"/>
          <w:kern w:val="0"/>
          <w:vertAlign w:val="superscript"/>
        </w:rPr>
        <w:t>56-58</w:t>
      </w:r>
      <w:r w:rsidRPr="00C10BAD">
        <w:rPr>
          <w:rFonts w:cs="Times New Roman"/>
          <w:lang w:val="en-US" w:eastAsia="en-CA"/>
        </w:rPr>
        <w:t>.</w:t>
      </w:r>
    </w:p>
    <w:p w14:paraId="639EAE22" w14:textId="77777777" w:rsidR="00DC763F" w:rsidRDefault="00DC763F" w:rsidP="00DC763F">
      <w:pPr>
        <w:rPr>
          <w:rFonts w:cs="Times New Roman"/>
          <w:lang w:val="en-US"/>
        </w:rPr>
      </w:pPr>
      <w:r>
        <w:rPr>
          <w:rFonts w:cs="Times New Roman"/>
          <w:lang w:val="en-US"/>
        </w:rPr>
        <w:br w:type="page"/>
      </w:r>
    </w:p>
    <w:p w14:paraId="598B3F6B" w14:textId="77777777" w:rsidR="00DC763F" w:rsidRPr="00C10BAD" w:rsidRDefault="00DC763F" w:rsidP="00DC763F">
      <w:pPr>
        <w:jc w:val="both"/>
        <w:rPr>
          <w:rFonts w:cs="Times New Roman"/>
          <w:lang w:val="en-US"/>
        </w:rPr>
      </w:pPr>
      <w:r>
        <w:rPr>
          <w:noProof/>
        </w:rPr>
        <w:lastRenderedPageBreak/>
        <w:drawing>
          <wp:inline distT="0" distB="0" distL="0" distR="0" wp14:anchorId="0A2C6943" wp14:editId="7647CDB1">
            <wp:extent cx="5731510" cy="2451100"/>
            <wp:effectExtent l="0" t="0" r="2540" b="6350"/>
            <wp:docPr id="15" name="图片 15"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A graph of different colored line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451100"/>
                    </a:xfrm>
                    <a:prstGeom prst="rect">
                      <a:avLst/>
                    </a:prstGeom>
                    <a:noFill/>
                    <a:ln>
                      <a:noFill/>
                    </a:ln>
                  </pic:spPr>
                </pic:pic>
              </a:graphicData>
            </a:graphic>
          </wp:inline>
        </w:drawing>
      </w:r>
    </w:p>
    <w:p w14:paraId="4E0CC962" w14:textId="77777777" w:rsidR="00DC763F" w:rsidRDefault="00DC763F" w:rsidP="00DC763F">
      <w:pPr>
        <w:jc w:val="both"/>
        <w:rPr>
          <w:rFonts w:cs="Times New Roman"/>
        </w:rPr>
      </w:pPr>
      <w:r w:rsidRPr="00A24E8B">
        <w:rPr>
          <w:rFonts w:cs="Times New Roman"/>
          <w:b/>
          <w:bCs/>
        </w:rPr>
        <w:t xml:space="preserve">Extended Data Figure </w:t>
      </w:r>
      <w:r>
        <w:rPr>
          <w:rFonts w:cs="Times New Roman"/>
          <w:b/>
          <w:bCs/>
        </w:rPr>
        <w:t>7 |</w:t>
      </w:r>
      <w:r w:rsidRPr="00A24E8B">
        <w:rPr>
          <w:rFonts w:cs="Times New Roman"/>
          <w:b/>
          <w:bCs/>
        </w:rPr>
        <w:t xml:space="preserve"> </w:t>
      </w:r>
      <w:r>
        <w:rPr>
          <w:rFonts w:cs="Times New Roman"/>
          <w:b/>
          <w:bCs/>
        </w:rPr>
        <w:t>V</w:t>
      </w:r>
      <w:r w:rsidRPr="00782FC5">
        <w:rPr>
          <w:rFonts w:cs="Times New Roman"/>
          <w:b/>
          <w:bCs/>
        </w:rPr>
        <w:t>elocity</w:t>
      </w:r>
      <w:r>
        <w:rPr>
          <w:rFonts w:cs="Times New Roman"/>
          <w:b/>
          <w:bCs/>
        </w:rPr>
        <w:t>-depth relationship from FWI and v</w:t>
      </w:r>
      <w:r w:rsidRPr="00782FC5">
        <w:rPr>
          <w:rFonts w:cs="Times New Roman"/>
          <w:b/>
          <w:bCs/>
        </w:rPr>
        <w:t>elocity</w:t>
      </w:r>
      <w:r>
        <w:rPr>
          <w:rFonts w:cs="Times New Roman"/>
          <w:b/>
          <w:bCs/>
        </w:rPr>
        <w:t>-</w:t>
      </w:r>
      <w:r w:rsidRPr="00782FC5">
        <w:rPr>
          <w:rFonts w:cs="Times New Roman"/>
          <w:b/>
          <w:bCs/>
        </w:rPr>
        <w:t xml:space="preserve">porosity </w:t>
      </w:r>
      <w:r>
        <w:rPr>
          <w:rFonts w:cs="Times New Roman"/>
          <w:b/>
          <w:bCs/>
        </w:rPr>
        <w:t xml:space="preserve">relationship calculated by </w:t>
      </w:r>
      <w:r w:rsidRPr="0088628A">
        <w:rPr>
          <w:rFonts w:cs="Times New Roman"/>
          <w:b/>
          <w:bCs/>
        </w:rPr>
        <w:t>differential effective medium (DEM) approach</w:t>
      </w:r>
      <w:r>
        <w:rPr>
          <w:rFonts w:cs="Times New Roman"/>
          <w:b/>
          <w:bCs/>
        </w:rPr>
        <w:t xml:space="preserve">. </w:t>
      </w:r>
      <w:r w:rsidRPr="00AD326A">
        <w:rPr>
          <w:rFonts w:cs="Times New Roman"/>
        </w:rPr>
        <w:t>(a)</w:t>
      </w:r>
      <w:r>
        <w:rPr>
          <w:rFonts w:cs="Times New Roman"/>
        </w:rPr>
        <w:t xml:space="preserve"> </w:t>
      </w:r>
      <w:r w:rsidRPr="00C20797">
        <w:rPr>
          <w:rFonts w:cs="Times New Roman"/>
        </w:rPr>
        <w:t xml:space="preserve">1D velocity curve with grey solid lines representing 1D velocity </w:t>
      </w:r>
      <w:bookmarkStart w:id="4" w:name="_Hlk197696244"/>
      <w:r>
        <w:rPr>
          <w:rFonts w:cs="Times New Roman"/>
        </w:rPr>
        <w:t xml:space="preserve">structure </w:t>
      </w:r>
      <w:bookmarkEnd w:id="4"/>
      <w:r w:rsidRPr="00C20797">
        <w:rPr>
          <w:rFonts w:cs="Times New Roman"/>
        </w:rPr>
        <w:t>at various locations in the FWI profile, and the black solid line showing the average 1D velocity</w:t>
      </w:r>
      <w:r>
        <w:rPr>
          <w:rFonts w:cs="Times New Roman"/>
        </w:rPr>
        <w:t xml:space="preserve"> model</w:t>
      </w:r>
      <w:r w:rsidRPr="00C20797">
        <w:rPr>
          <w:rFonts w:cs="Times New Roman"/>
        </w:rPr>
        <w:t>.</w:t>
      </w:r>
      <w:r>
        <w:rPr>
          <w:rFonts w:cs="Times New Roman"/>
        </w:rPr>
        <w:t xml:space="preserve"> Black dash lines indicate the depth of conventional Layer 2A/B boundary and the corresponding P wave velocities. (b) </w:t>
      </w:r>
      <w:r w:rsidRPr="00B12899">
        <w:rPr>
          <w:rFonts w:cs="Times New Roman"/>
        </w:rPr>
        <w:t xml:space="preserve">Velocity-porosity </w:t>
      </w:r>
      <w:r w:rsidRPr="00FF0345">
        <w:rPr>
          <w:rFonts w:cs="Times New Roman"/>
        </w:rPr>
        <w:t>relationships</w:t>
      </w:r>
      <w:r>
        <w:rPr>
          <w:rFonts w:cs="Times New Roman"/>
          <w:b/>
          <w:bCs/>
        </w:rPr>
        <w:t xml:space="preserve"> </w:t>
      </w:r>
      <w:r>
        <w:rPr>
          <w:rFonts w:cs="Times New Roman"/>
        </w:rPr>
        <w:t xml:space="preserve">calculated by DEM, </w:t>
      </w:r>
      <w:r w:rsidRPr="00C66ADD">
        <w:rPr>
          <w:rFonts w:cs="Times New Roman"/>
          <w:i/>
          <w:iCs/>
          <w:lang w:eastAsia="zh-CN"/>
        </w:rPr>
        <w:t>α</w:t>
      </w:r>
      <w:r>
        <w:rPr>
          <w:rFonts w:cs="Times New Roman"/>
          <w:i/>
          <w:iCs/>
          <w:lang w:eastAsia="zh-CN"/>
        </w:rPr>
        <w:t xml:space="preserve"> </w:t>
      </w:r>
      <w:r w:rsidRPr="007B0657">
        <w:rPr>
          <w:rFonts w:cs="Times New Roman"/>
        </w:rPr>
        <w:t>in the inserted legend</w:t>
      </w:r>
      <w:r>
        <w:rPr>
          <w:rFonts w:cs="Times New Roman"/>
        </w:rPr>
        <w:t xml:space="preserve"> indicates</w:t>
      </w:r>
      <w:r w:rsidRPr="00FE0FE5">
        <w:rPr>
          <w:rFonts w:cs="Times New Roman"/>
        </w:rPr>
        <w:t xml:space="preserve"> </w:t>
      </w:r>
      <w:r>
        <w:rPr>
          <w:rFonts w:cs="Times New Roman"/>
        </w:rPr>
        <w:t xml:space="preserve">the </w:t>
      </w:r>
      <w:r w:rsidRPr="009539F3">
        <w:rPr>
          <w:rFonts w:cs="Times New Roman"/>
        </w:rPr>
        <w:t>inverse aspect ratio</w:t>
      </w:r>
      <w:r>
        <w:rPr>
          <w:rFonts w:cs="Times New Roman" w:hint="eastAsia"/>
          <w:lang w:eastAsia="zh-CN"/>
        </w:rPr>
        <w:t>.</w:t>
      </w:r>
      <w:r>
        <w:rPr>
          <w:rFonts w:cs="Times New Roman"/>
          <w:lang w:eastAsia="zh-CN"/>
        </w:rPr>
        <w:t xml:space="preserve"> Black dashed lines indicate the velocities near the conventional </w:t>
      </w:r>
      <w:r>
        <w:rPr>
          <w:rFonts w:cs="Times New Roman"/>
        </w:rPr>
        <w:t>Layer 2A/B boundary.</w:t>
      </w:r>
    </w:p>
    <w:p w14:paraId="5B968273" w14:textId="77777777" w:rsidR="00DC763F" w:rsidRDefault="00DC763F" w:rsidP="00DC763F">
      <w:pPr>
        <w:rPr>
          <w:rFonts w:cs="Times New Roman"/>
          <w:lang w:val="en-US"/>
        </w:rPr>
      </w:pPr>
      <w:r>
        <w:rPr>
          <w:rFonts w:cs="Times New Roman"/>
          <w:lang w:val="en-US"/>
        </w:rPr>
        <w:br w:type="page"/>
      </w:r>
    </w:p>
    <w:p w14:paraId="38176B6A" w14:textId="77777777" w:rsidR="00DC763F" w:rsidRPr="00940E82" w:rsidRDefault="00DC763F" w:rsidP="00DC763F">
      <w:pPr>
        <w:jc w:val="center"/>
        <w:rPr>
          <w:rFonts w:cs="Times New Roman"/>
          <w:lang w:val="en-US"/>
        </w:rPr>
      </w:pPr>
      <w:r w:rsidRPr="003548BB">
        <w:rPr>
          <w:rFonts w:cs="Times New Roman"/>
          <w:noProof/>
        </w:rPr>
        <w:lastRenderedPageBreak/>
        <w:drawing>
          <wp:inline distT="0" distB="0" distL="0" distR="0" wp14:anchorId="6DB5768E" wp14:editId="6F499E38">
            <wp:extent cx="4286250" cy="52006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86250" cy="5200650"/>
                    </a:xfrm>
                    <a:prstGeom prst="rect">
                      <a:avLst/>
                    </a:prstGeom>
                    <a:noFill/>
                    <a:ln>
                      <a:noFill/>
                    </a:ln>
                  </pic:spPr>
                </pic:pic>
              </a:graphicData>
            </a:graphic>
          </wp:inline>
        </w:drawing>
      </w:r>
    </w:p>
    <w:p w14:paraId="7580A216" w14:textId="77777777" w:rsidR="00DC763F" w:rsidRPr="00940E82" w:rsidRDefault="00DC763F" w:rsidP="00DC763F">
      <w:pPr>
        <w:jc w:val="both"/>
      </w:pPr>
      <w:r w:rsidRPr="003548BB">
        <w:rPr>
          <w:rFonts w:cs="Times New Roman"/>
          <w:b/>
          <w:bCs/>
        </w:rPr>
        <w:t xml:space="preserve">Extended Data Figure </w:t>
      </w:r>
      <w:r>
        <w:rPr>
          <w:rFonts w:cs="Times New Roman"/>
          <w:b/>
          <w:bCs/>
        </w:rPr>
        <w:t>8</w:t>
      </w:r>
      <w:r w:rsidRPr="003548BB">
        <w:rPr>
          <w:rFonts w:cs="Times New Roman"/>
          <w:b/>
          <w:bCs/>
          <w:lang w:eastAsia="zh-CN"/>
        </w:rPr>
        <w:t xml:space="preserve"> |</w:t>
      </w:r>
      <w:r>
        <w:rPr>
          <w:rFonts w:cs="Times New Roman"/>
          <w:b/>
          <w:bCs/>
          <w:lang w:eastAsia="zh-CN"/>
        </w:rPr>
        <w:t xml:space="preserve"> </w:t>
      </w:r>
      <w:r w:rsidRPr="003548BB">
        <w:rPr>
          <w:rFonts w:cs="Times New Roman"/>
          <w:b/>
          <w:bCs/>
        </w:rPr>
        <w:t>The Geometry of the 3D survey:</w:t>
      </w:r>
      <w:r w:rsidRPr="003548BB">
        <w:rPr>
          <w:rFonts w:cs="Times New Roman"/>
        </w:rPr>
        <w:t xml:space="preserve"> (a) shot position, (b) receiver position, (c) fold number, (d) detailed map of a linear arrangement of receivers and sources of the seismic surveys’ distribution. The </w:t>
      </w:r>
      <w:r>
        <w:rPr>
          <w:rFonts w:cs="Times New Roman"/>
        </w:rPr>
        <w:t>i</w:t>
      </w:r>
      <w:r w:rsidRPr="003548BB">
        <w:rPr>
          <w:rFonts w:cs="Times New Roman"/>
        </w:rPr>
        <w:t>deal distribution of midpoints includes the acquisition of two sources (75 m apart) and four streamers (150 m apart). The red asterisks and blue triangles represent the locations of the seismic sources and receivers, which are typically arrays of hydrophones towed behind survey vessels. The black crosses marked "</w:t>
      </w:r>
      <w:r>
        <w:rPr>
          <w:rFonts w:cs="Times New Roman"/>
        </w:rPr>
        <w:t>m</w:t>
      </w:r>
      <w:r w:rsidRPr="003548BB">
        <w:rPr>
          <w:rFonts w:cs="Times New Roman"/>
        </w:rPr>
        <w:t>idpoints" indicate the locations halfway between each source and receiver pair.</w:t>
      </w:r>
    </w:p>
    <w:p w14:paraId="3425DBBC" w14:textId="77777777" w:rsidR="00865217" w:rsidRDefault="00865217"/>
    <w:sectPr w:rsidR="00865217" w:rsidSect="00DC763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63F"/>
    <w:rsid w:val="002E281E"/>
    <w:rsid w:val="003201BB"/>
    <w:rsid w:val="00865217"/>
    <w:rsid w:val="008E621B"/>
    <w:rsid w:val="00DC7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0D663"/>
  <w15:chartTrackingRefBased/>
  <w15:docId w15:val="{4805903D-6F8F-4A2E-B374-DDFF785BE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3F"/>
    <w:pPr>
      <w:spacing w:after="0" w:line="240" w:lineRule="auto"/>
    </w:pPr>
    <w:rPr>
      <w:rFonts w:ascii="Times New Roman" w:eastAsia="Times New Roman" w:hAnsi="Times New Roman"/>
      <w:lang w:val="en-GB"/>
    </w:rPr>
  </w:style>
  <w:style w:type="paragraph" w:styleId="Heading1">
    <w:name w:val="heading 1"/>
    <w:basedOn w:val="Normal"/>
    <w:next w:val="Normal"/>
    <w:link w:val="Heading1Char"/>
    <w:uiPriority w:val="9"/>
    <w:qFormat/>
    <w:rsid w:val="00DC763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DC763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DC763F"/>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DC763F"/>
    <w:pPr>
      <w:keepNext/>
      <w:keepLines/>
      <w:spacing w:before="80" w:after="40" w:line="278" w:lineRule="auto"/>
      <w:outlineLvl w:val="3"/>
    </w:pPr>
    <w:rPr>
      <w:rFonts w:asciiTheme="minorHAnsi" w:eastAsiaTheme="majorEastAsia" w:hAnsiTheme="minorHAnsi"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DC763F"/>
    <w:pPr>
      <w:keepNext/>
      <w:keepLines/>
      <w:spacing w:before="80" w:after="40" w:line="278" w:lineRule="auto"/>
      <w:outlineLvl w:val="4"/>
    </w:pPr>
    <w:rPr>
      <w:rFonts w:asciiTheme="minorHAnsi" w:eastAsiaTheme="majorEastAsia" w:hAnsiTheme="minorHAnsi"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DC763F"/>
    <w:pPr>
      <w:keepNext/>
      <w:keepLines/>
      <w:spacing w:before="40" w:line="278" w:lineRule="auto"/>
      <w:outlineLvl w:val="5"/>
    </w:pPr>
    <w:rPr>
      <w:rFonts w:asciiTheme="minorHAnsi" w:eastAsiaTheme="majorEastAsia" w:hAnsiTheme="minorHAnsi"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DC763F"/>
    <w:pPr>
      <w:keepNext/>
      <w:keepLines/>
      <w:spacing w:before="40" w:line="278" w:lineRule="auto"/>
      <w:outlineLvl w:val="6"/>
    </w:pPr>
    <w:rPr>
      <w:rFonts w:asciiTheme="minorHAnsi" w:eastAsiaTheme="majorEastAsia" w:hAnsiTheme="minorHAnsi"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DC763F"/>
    <w:pPr>
      <w:keepNext/>
      <w:keepLines/>
      <w:spacing w:line="278" w:lineRule="auto"/>
      <w:outlineLvl w:val="7"/>
    </w:pPr>
    <w:rPr>
      <w:rFonts w:asciiTheme="minorHAnsi" w:eastAsiaTheme="majorEastAsia" w:hAnsiTheme="minorHAnsi"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DC763F"/>
    <w:pPr>
      <w:keepNext/>
      <w:keepLines/>
      <w:spacing w:line="278" w:lineRule="auto"/>
      <w:outlineLvl w:val="8"/>
    </w:pPr>
    <w:rPr>
      <w:rFonts w:asciiTheme="minorHAnsi" w:eastAsiaTheme="majorEastAsia" w:hAnsiTheme="minorHAnsi"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6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76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76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76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76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76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6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6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63F"/>
    <w:rPr>
      <w:rFonts w:eastAsiaTheme="majorEastAsia" w:cstheme="majorBidi"/>
      <w:color w:val="272727" w:themeColor="text1" w:themeTint="D8"/>
    </w:rPr>
  </w:style>
  <w:style w:type="paragraph" w:styleId="Title">
    <w:name w:val="Title"/>
    <w:basedOn w:val="Normal"/>
    <w:next w:val="Normal"/>
    <w:link w:val="TitleChar"/>
    <w:uiPriority w:val="10"/>
    <w:qFormat/>
    <w:rsid w:val="00DC763F"/>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DC76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763F"/>
    <w:pPr>
      <w:numPr>
        <w:ilvl w:val="1"/>
      </w:numPr>
      <w:spacing w:after="160" w:line="278"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DC76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763F"/>
    <w:pPr>
      <w:spacing w:before="160" w:after="160" w:line="278" w:lineRule="auto"/>
      <w:jc w:val="center"/>
    </w:pPr>
    <w:rPr>
      <w:rFonts w:asciiTheme="minorHAnsi" w:eastAsiaTheme="minorHAnsi" w:hAnsiTheme="minorHAnsi"/>
      <w:i/>
      <w:iCs/>
      <w:color w:val="404040" w:themeColor="text1" w:themeTint="BF"/>
      <w:lang w:val="en-US"/>
    </w:rPr>
  </w:style>
  <w:style w:type="character" w:customStyle="1" w:styleId="QuoteChar">
    <w:name w:val="Quote Char"/>
    <w:basedOn w:val="DefaultParagraphFont"/>
    <w:link w:val="Quote"/>
    <w:uiPriority w:val="29"/>
    <w:rsid w:val="00DC763F"/>
    <w:rPr>
      <w:i/>
      <w:iCs/>
      <w:color w:val="404040" w:themeColor="text1" w:themeTint="BF"/>
    </w:rPr>
  </w:style>
  <w:style w:type="paragraph" w:styleId="ListParagraph">
    <w:name w:val="List Paragraph"/>
    <w:basedOn w:val="Normal"/>
    <w:uiPriority w:val="34"/>
    <w:qFormat/>
    <w:rsid w:val="00DC763F"/>
    <w:pPr>
      <w:spacing w:after="160" w:line="278" w:lineRule="auto"/>
      <w:ind w:left="720"/>
      <w:contextualSpacing/>
    </w:pPr>
    <w:rPr>
      <w:rFonts w:asciiTheme="minorHAnsi" w:eastAsiaTheme="minorHAnsi" w:hAnsiTheme="minorHAnsi"/>
      <w:lang w:val="en-US"/>
    </w:rPr>
  </w:style>
  <w:style w:type="character" w:styleId="IntenseEmphasis">
    <w:name w:val="Intense Emphasis"/>
    <w:basedOn w:val="DefaultParagraphFont"/>
    <w:uiPriority w:val="21"/>
    <w:qFormat/>
    <w:rsid w:val="00DC763F"/>
    <w:rPr>
      <w:i/>
      <w:iCs/>
      <w:color w:val="0F4761" w:themeColor="accent1" w:themeShade="BF"/>
    </w:rPr>
  </w:style>
  <w:style w:type="paragraph" w:styleId="IntenseQuote">
    <w:name w:val="Intense Quote"/>
    <w:basedOn w:val="Normal"/>
    <w:next w:val="Normal"/>
    <w:link w:val="IntenseQuoteChar"/>
    <w:uiPriority w:val="30"/>
    <w:qFormat/>
    <w:rsid w:val="00DC763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lang w:val="en-US"/>
    </w:rPr>
  </w:style>
  <w:style w:type="character" w:customStyle="1" w:styleId="IntenseQuoteChar">
    <w:name w:val="Intense Quote Char"/>
    <w:basedOn w:val="DefaultParagraphFont"/>
    <w:link w:val="IntenseQuote"/>
    <w:uiPriority w:val="30"/>
    <w:rsid w:val="00DC763F"/>
    <w:rPr>
      <w:i/>
      <w:iCs/>
      <w:color w:val="0F4761" w:themeColor="accent1" w:themeShade="BF"/>
    </w:rPr>
  </w:style>
  <w:style w:type="character" w:styleId="IntenseReference">
    <w:name w:val="Intense Reference"/>
    <w:basedOn w:val="DefaultParagraphFont"/>
    <w:uiPriority w:val="32"/>
    <w:qFormat/>
    <w:rsid w:val="00DC763F"/>
    <w:rPr>
      <w:b/>
      <w:bCs/>
      <w:smallCaps/>
      <w:color w:val="0F4761" w:themeColor="accent1" w:themeShade="BF"/>
      <w:spacing w:val="5"/>
    </w:rPr>
  </w:style>
  <w:style w:type="character" w:styleId="LineNumber">
    <w:name w:val="line number"/>
    <w:basedOn w:val="DefaultParagraphFont"/>
    <w:uiPriority w:val="99"/>
    <w:semiHidden/>
    <w:unhideWhenUsed/>
    <w:rsid w:val="00DC7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2567</Words>
  <Characters>14634</Characters>
  <Application>Microsoft Office Word</Application>
  <DocSecurity>0</DocSecurity>
  <Lines>121</Lines>
  <Paragraphs>34</Paragraphs>
  <ScaleCrop>false</ScaleCrop>
  <Company>Springer Nature</Company>
  <LinksUpToDate>false</LinksUpToDate>
  <CharactersWithSpaces>17167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2025-07-14T08:17:00Z</dcterms:created>
  <dcterms:modified xsi:type="dcterms:W3CDTF">2025-07-14T08:17:00Z</dcterms:modified>
</cp:coreProperties>
</file>