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D6392">
      <w:pPr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highlight</w:t>
      </w:r>
    </w:p>
    <w:p w14:paraId="221BC1A2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Focuses on the association between intergenerational care and adolescent mental health in China, systematically analyzing the impact of inter</w:t>
      </w:r>
      <w:bookmarkStart w:id="0" w:name="_GoBack"/>
      <w:bookmarkEnd w:id="0"/>
      <w:r>
        <w:rPr>
          <w:rFonts w:hint="eastAsia"/>
          <w:sz w:val="20"/>
          <w:szCs w:val="20"/>
        </w:rPr>
        <w:t>generational care on adolescent depression risk in general Chinese families, which enriches the research on mental health mechanisms.</w:t>
      </w:r>
    </w:p>
    <w:p w14:paraId="695190EB">
      <w:pPr>
        <w:rPr>
          <w:rFonts w:hint="eastAsia"/>
          <w:sz w:val="20"/>
          <w:szCs w:val="20"/>
        </w:rPr>
      </w:pPr>
    </w:p>
    <w:p w14:paraId="217CB9D5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Based on CFPS 2010–2020 panel data in China, employs fixed-effect models, Probit/Logit models, and robustness tests (e.g., changing clustering levels) to ensure result reliability.</w:t>
      </w:r>
    </w:p>
    <w:p w14:paraId="510E5A85">
      <w:pPr>
        <w:rPr>
          <w:rFonts w:hint="eastAsia"/>
          <w:sz w:val="20"/>
          <w:szCs w:val="20"/>
        </w:rPr>
      </w:pPr>
    </w:p>
    <w:p w14:paraId="635579C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Reveals heterogeneous effects on adolescent depression risk by gender, age, and urban-rural hukou in China, along with mediating pathways (academic performance, parent-child communication), supporting targeted intervention strategies.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47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2025-06-13T08:10:30Z</dcterms:created>
  <dc:creator>S</dc:creator>
  <cp:lastModifiedBy>-</cp:lastModifiedBy>
  <dcterms:modified xsi:type="dcterms:W3CDTF">2025-06-13T08:11:43Z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eyJoZGlkIjoiNWNmNTU2Y2VkZjFjY2MwMTIzYTA1YTk3Y2YzODVmYTUiLCJ1c2VySWQiOiI5MTYzMzg3MjYifQ==</vt:lpwstr>
  </property>
  <property fmtid="{D5CDD505-2E9C-101B-9397-08002B2CF9AE}" pid="4" name="ICV">
    <vt:lpwstr>50E53FFC18E84C19B3595AD8245DAD8E_12</vt:lpwstr>
  </property>
</Properties>
</file>