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71BA3" w14:textId="77777777" w:rsidR="0062569E" w:rsidRDefault="0062569E" w:rsidP="0062569E">
      <w:pPr>
        <w:rPr>
          <w:rFonts w:ascii="Times New Roman" w:hAnsi="Times New Roman" w:cs="Times New Roman"/>
          <w:b/>
          <w:bCs/>
        </w:rPr>
      </w:pPr>
      <w:r w:rsidRPr="00B73AEF">
        <w:rPr>
          <w:rFonts w:ascii="Times New Roman" w:hAnsi="Times New Roman" w:cs="Times New Roman"/>
          <w:b/>
          <w:bCs/>
        </w:rPr>
        <w:t>Appendix</w:t>
      </w:r>
      <w:r>
        <w:rPr>
          <w:rFonts w:ascii="Times New Roman" w:hAnsi="Times New Roman" w:cs="Times New Roman" w:hint="eastAsia"/>
          <w:b/>
          <w:bCs/>
        </w:rPr>
        <w:t xml:space="preserve"> 1</w:t>
      </w:r>
      <w:r w:rsidRPr="00B73AEF">
        <w:rPr>
          <w:rFonts w:ascii="Times New Roman" w:hAnsi="Times New Roman" w:cs="Times New Roman"/>
          <w:b/>
          <w:bCs/>
        </w:rPr>
        <w:t xml:space="preserve">: Parameters for </w:t>
      </w:r>
      <w:r>
        <w:rPr>
          <w:rFonts w:ascii="Times New Roman" w:hAnsi="Times New Roman" w:cs="Times New Roman" w:hint="eastAsia"/>
          <w:b/>
          <w:bCs/>
        </w:rPr>
        <w:t>Heat</w:t>
      </w:r>
      <w:r w:rsidRPr="00B73AEF">
        <w:rPr>
          <w:rFonts w:ascii="Times New Roman" w:hAnsi="Times New Roman" w:cs="Times New Roman"/>
          <w:b/>
          <w:bCs/>
        </w:rPr>
        <w:t xml:space="preserve"> Conduction and Creep Damage Analyses</w:t>
      </w:r>
    </w:p>
    <w:p w14:paraId="4F6BF0F7" w14:textId="77777777" w:rsidR="0062569E" w:rsidRPr="00B73AEF" w:rsidRDefault="0062569E" w:rsidP="0062569E">
      <w:pPr>
        <w:rPr>
          <w:rFonts w:ascii="Times New Roman" w:hAnsi="Times New Roman" w:cs="Times New Roman"/>
          <w:b/>
          <w:bCs/>
        </w:rPr>
      </w:pPr>
    </w:p>
    <w:p w14:paraId="7B0808C5" w14:textId="77777777" w:rsidR="0062569E" w:rsidRPr="00901AA6" w:rsidRDefault="0062569E" w:rsidP="0062569E">
      <w:pPr>
        <w:rPr>
          <w:rFonts w:ascii="Times New Roman" w:hAnsi="Times New Roman" w:cs="Times New Roman"/>
        </w:rPr>
      </w:pPr>
      <w:r w:rsidRPr="003925D4">
        <w:rPr>
          <w:rFonts w:ascii="Times New Roman" w:hAnsi="Times New Roman" w:cs="Times New Roman"/>
        </w:rPr>
        <w:t xml:space="preserve">The </w:t>
      </w:r>
      <w:r>
        <w:rPr>
          <w:rFonts w:ascii="Times New Roman" w:hAnsi="Times New Roman" w:cs="Times New Roman" w:hint="eastAsia"/>
        </w:rPr>
        <w:t>heat conduction analysis</w:t>
      </w:r>
      <w:r w:rsidRPr="003925D4">
        <w:rPr>
          <w:rFonts w:ascii="Times New Roman" w:hAnsi="Times New Roman" w:cs="Times New Roman"/>
        </w:rPr>
        <w:t xml:space="preserve"> parameters except the target welding </w:t>
      </w:r>
      <w:r>
        <w:rPr>
          <w:rFonts w:ascii="Times New Roman" w:hAnsi="Times New Roman" w:cs="Times New Roman" w:hint="eastAsia"/>
        </w:rPr>
        <w:t>parameters</w:t>
      </w:r>
      <w:r w:rsidRPr="003925D4">
        <w:rPr>
          <w:rFonts w:ascii="Times New Roman" w:hAnsi="Times New Roman" w:cs="Times New Roman"/>
        </w:rPr>
        <w:t xml:space="preserve"> were determined as follows. </w:t>
      </w:r>
      <w:r w:rsidRPr="00901AA6">
        <w:rPr>
          <w:rFonts w:ascii="Times New Roman" w:hAnsi="Times New Roman" w:cs="Times New Roman"/>
        </w:rPr>
        <w:t xml:space="preserve">The heat source width </w:t>
      </w:r>
      <m:oMath>
        <m:r>
          <w:rPr>
            <w:rFonts w:ascii="Cambria Math" w:hAnsi="Cambria Math" w:cs="Times New Roman"/>
          </w:rPr>
          <m:t>w</m:t>
        </m:r>
      </m:oMath>
      <w:r w:rsidRPr="00901AA6">
        <w:rPr>
          <w:rFonts w:ascii="Times New Roman" w:hAnsi="Times New Roman" w:cs="Times New Roman"/>
        </w:rPr>
        <w:t xml:space="preserve"> and heat source depth </w:t>
      </w:r>
      <m:oMath>
        <m:r>
          <w:rPr>
            <w:rFonts w:ascii="Cambria Math" w:hAnsi="Cambria Math" w:cs="Times New Roman"/>
          </w:rPr>
          <m:t>d</m:t>
        </m:r>
      </m:oMath>
      <w:r w:rsidRPr="00901AA6">
        <w:rPr>
          <w:rFonts w:ascii="Times New Roman" w:hAnsi="Times New Roman" w:cs="Times New Roman"/>
        </w:rPr>
        <w:t xml:space="preserve"> were defined as functions of </w:t>
      </w:r>
      <w:r>
        <w:rPr>
          <w:rFonts w:ascii="Times New Roman" w:hAnsi="Times New Roman" w:cs="Times New Roman" w:hint="eastAsia"/>
        </w:rPr>
        <w:t xml:space="preserve">target </w:t>
      </w:r>
      <w:r w:rsidRPr="00901AA6">
        <w:rPr>
          <w:rFonts w:ascii="Times New Roman" w:hAnsi="Times New Roman" w:cs="Times New Roman"/>
        </w:rPr>
        <w:t xml:space="preserve">welding </w:t>
      </w:r>
      <w:r>
        <w:rPr>
          <w:rFonts w:ascii="Times New Roman" w:hAnsi="Times New Roman" w:cs="Times New Roman" w:hint="eastAsia"/>
        </w:rPr>
        <w:t>parameters,</w:t>
      </w:r>
      <w:r w:rsidRPr="00901AA6">
        <w:rPr>
          <w:rFonts w:ascii="Times New Roman" w:hAnsi="Times New Roman" w:cs="Times New Roman"/>
        </w:rPr>
        <w:t xml:space="preserve"> the heat input </w:t>
      </w:r>
      <m:oMath>
        <m:r>
          <w:rPr>
            <w:rFonts w:ascii="Cambria Math" w:hAnsi="Cambria Math" w:cs="Times New Roman"/>
          </w:rPr>
          <m:t>HV</m:t>
        </m:r>
      </m:oMath>
      <w:r w:rsidRPr="00901AA6">
        <w:rPr>
          <w:rFonts w:ascii="Times New Roman" w:hAnsi="Times New Roman" w:cs="Times New Roman"/>
        </w:rPr>
        <w:t xml:space="preserve"> (J/mm) and the layer thickness </w:t>
      </w:r>
      <m:oMath>
        <m:r>
          <w:rPr>
            <w:rFonts w:ascii="Cambria Math" w:hAnsi="Cambria Math" w:cs="Times New Roman"/>
          </w:rPr>
          <m:t>DL</m:t>
        </m:r>
      </m:oMath>
      <w:r w:rsidRPr="00901AA6">
        <w:rPr>
          <w:rFonts w:ascii="Times New Roman" w:hAnsi="Times New Roman" w:cs="Times New Roman"/>
        </w:rPr>
        <w:t xml:space="preserve"> (mm). First, </w:t>
      </w:r>
      <w:r>
        <w:rPr>
          <w:rFonts w:ascii="Times New Roman" w:hAnsi="Times New Roman" w:cs="Times New Roman" w:hint="eastAsia"/>
        </w:rPr>
        <w:t xml:space="preserve">real </w:t>
      </w:r>
      <w:r w:rsidRPr="00901AA6">
        <w:rPr>
          <w:rFonts w:ascii="Times New Roman" w:hAnsi="Times New Roman" w:cs="Times New Roman"/>
        </w:rPr>
        <w:t>welding t</w:t>
      </w:r>
      <w:r>
        <w:rPr>
          <w:rFonts w:ascii="Times New Roman" w:hAnsi="Times New Roman" w:cs="Times New Roman" w:hint="eastAsia"/>
        </w:rPr>
        <w:t>est</w:t>
      </w:r>
      <w:r w:rsidRPr="00901AA6">
        <w:rPr>
          <w:rFonts w:ascii="Times New Roman" w:hAnsi="Times New Roman" w:cs="Times New Roman"/>
        </w:rPr>
        <w:t xml:space="preserve"> were conducted using representative values of </w:t>
      </w:r>
      <m:oMath>
        <m:r>
          <w:rPr>
            <w:rFonts w:ascii="Cambria Math" w:hAnsi="Cambria Math" w:cs="Times New Roman"/>
          </w:rPr>
          <m:t>DL</m:t>
        </m:r>
      </m:oMath>
      <w:r w:rsidRPr="00901AA6">
        <w:rPr>
          <w:rFonts w:ascii="Times New Roman" w:hAnsi="Times New Roman" w:cs="Times New Roman"/>
        </w:rPr>
        <w:t xml:space="preserve"> and </w:t>
      </w:r>
      <m:oMath>
        <m:r>
          <w:rPr>
            <w:rFonts w:ascii="Cambria Math" w:hAnsi="Cambria Math" w:cs="Times New Roman"/>
          </w:rPr>
          <m:t>HV</m:t>
        </m:r>
      </m:oMath>
      <w:r w:rsidRPr="00901AA6">
        <w:rPr>
          <w:rFonts w:ascii="Times New Roman" w:hAnsi="Times New Roman" w:cs="Times New Roman"/>
        </w:rPr>
        <w:t>, and the molten zone geometry</w:t>
      </w:r>
      <w:r>
        <w:rPr>
          <w:rFonts w:ascii="Times New Roman" w:hAnsi="Times New Roman" w:cs="Times New Roman" w:hint="eastAsia"/>
        </w:rPr>
        <w:t xml:space="preserve">, </w:t>
      </w:r>
      <w:r w:rsidRPr="00901AA6">
        <w:rPr>
          <w:rFonts w:ascii="Times New Roman" w:hAnsi="Times New Roman" w:cs="Times New Roman"/>
        </w:rPr>
        <w:t>defined as the region exceeding the melting point</w:t>
      </w:r>
      <w:r>
        <w:rPr>
          <w:rFonts w:ascii="Times New Roman" w:hAnsi="Times New Roman" w:cs="Times New Roman" w:hint="eastAsia"/>
        </w:rPr>
        <w:t xml:space="preserve">, </w:t>
      </w:r>
      <w:r w:rsidRPr="00901AA6">
        <w:rPr>
          <w:rFonts w:ascii="Times New Roman" w:hAnsi="Times New Roman" w:cs="Times New Roman"/>
        </w:rPr>
        <w:t>was identified through cross-sectional observation</w:t>
      </w:r>
      <w:r>
        <w:rPr>
          <w:rFonts w:ascii="Times New Roman" w:hAnsi="Times New Roman" w:cs="Times New Roman" w:hint="eastAsia"/>
        </w:rPr>
        <w:t xml:space="preserve"> of weldments</w:t>
      </w:r>
      <w:r w:rsidRPr="00901AA6">
        <w:rPr>
          <w:rFonts w:ascii="Times New Roman" w:hAnsi="Times New Roman" w:cs="Times New Roman"/>
        </w:rPr>
        <w:t xml:space="preserve">. </w:t>
      </w:r>
      <w:r>
        <w:rPr>
          <w:rFonts w:ascii="Times New Roman" w:hAnsi="Times New Roman" w:cs="Times New Roman" w:hint="eastAsia"/>
        </w:rPr>
        <w:t>Heat</w:t>
      </w:r>
      <w:r w:rsidRPr="00901AA6">
        <w:rPr>
          <w:rFonts w:ascii="Times New Roman" w:hAnsi="Times New Roman" w:cs="Times New Roman"/>
        </w:rPr>
        <w:t xml:space="preserve"> conduction </w:t>
      </w:r>
      <w:r>
        <w:rPr>
          <w:rFonts w:ascii="Times New Roman" w:hAnsi="Times New Roman" w:cs="Times New Roman" w:hint="eastAsia"/>
        </w:rPr>
        <w:t>analysis</w:t>
      </w:r>
      <w:r w:rsidRPr="00901AA6">
        <w:rPr>
          <w:rFonts w:ascii="Times New Roman" w:hAnsi="Times New Roman" w:cs="Times New Roman"/>
        </w:rPr>
        <w:t xml:space="preserve"> were performed while varying </w:t>
      </w:r>
      <m:oMath>
        <m:r>
          <w:rPr>
            <w:rFonts w:ascii="Cambria Math" w:hAnsi="Cambria Math" w:cs="Times New Roman"/>
          </w:rPr>
          <m:t>w</m:t>
        </m:r>
      </m:oMath>
      <w:r w:rsidRPr="00901AA6">
        <w:rPr>
          <w:rFonts w:ascii="Times New Roman" w:hAnsi="Times New Roman" w:cs="Times New Roman"/>
        </w:rPr>
        <w:t xml:space="preserve"> and </w:t>
      </w:r>
      <m:oMath>
        <m:r>
          <w:rPr>
            <w:rFonts w:ascii="Cambria Math" w:hAnsi="Cambria Math" w:cs="Times New Roman"/>
          </w:rPr>
          <m:t>d</m:t>
        </m:r>
      </m:oMath>
      <w:r w:rsidRPr="00901AA6">
        <w:rPr>
          <w:rFonts w:ascii="Times New Roman" w:hAnsi="Times New Roman" w:cs="Times New Roman"/>
        </w:rPr>
        <w:t xml:space="preserve"> to replicate this geometry, and the optimal values of </w:t>
      </w:r>
      <m:oMath>
        <m:r>
          <w:rPr>
            <w:rFonts w:ascii="Cambria Math" w:hAnsi="Cambria Math" w:cs="Times New Roman"/>
          </w:rPr>
          <m:t>w</m:t>
        </m:r>
      </m:oMath>
      <w:r w:rsidRPr="00901AA6">
        <w:rPr>
          <w:rFonts w:ascii="Times New Roman" w:hAnsi="Times New Roman" w:cs="Times New Roman"/>
        </w:rPr>
        <w:t xml:space="preserve"> and</w:t>
      </w:r>
      <m:oMath>
        <m:r>
          <w:rPr>
            <w:rFonts w:ascii="Cambria Math" w:hAnsi="Cambria Math" w:cs="Times New Roman"/>
          </w:rPr>
          <m:t xml:space="preserve"> d</m:t>
        </m:r>
      </m:oMath>
      <w:r w:rsidRPr="00901AA6">
        <w:rPr>
          <w:rFonts w:ascii="Times New Roman" w:hAnsi="Times New Roman" w:cs="Times New Roman"/>
        </w:rPr>
        <w:t xml:space="preserve"> were determined accordingly. These were regressed as functions of </w:t>
      </w:r>
      <m:oMath>
        <m:r>
          <w:rPr>
            <w:rFonts w:ascii="Cambria Math" w:hAnsi="Cambria Math" w:cs="Times New Roman"/>
          </w:rPr>
          <m:t>HV</m:t>
        </m:r>
      </m:oMath>
      <w:r w:rsidRPr="00901AA6">
        <w:rPr>
          <w:rFonts w:ascii="Times New Roman" w:hAnsi="Times New Roman" w:cs="Times New Roman"/>
        </w:rPr>
        <w:t xml:space="preserve"> and </w:t>
      </w:r>
      <m:oMath>
        <m:r>
          <w:rPr>
            <w:rFonts w:ascii="Cambria Math" w:hAnsi="Cambria Math" w:cs="Times New Roman"/>
          </w:rPr>
          <m:t>DL</m:t>
        </m:r>
      </m:oMath>
      <w:r w:rsidRPr="00901AA6">
        <w:rPr>
          <w:rFonts w:ascii="Times New Roman" w:hAnsi="Times New Roman" w:cs="Times New Roman"/>
        </w:rPr>
        <w:t xml:space="preserve">, yielding the following equations (1) and (2), where the coefficients </w:t>
      </w:r>
      <m:oMath>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A</m:t>
            </m:r>
          </m:e>
          <m:sub>
            <m:r>
              <w:rPr>
                <w:rFonts w:ascii="Cambria Math" w:eastAsia="Yu Mincho" w:hAnsi="Cambria Math" w:cs="Times New Roman"/>
                <w:sz w:val="21"/>
                <w:szCs w:val="21"/>
              </w:rPr>
              <m:t>i</m:t>
            </m:r>
          </m:sub>
        </m:sSub>
        <m:r>
          <w:rPr>
            <w:rFonts w:ascii="Cambria Math" w:eastAsia="Yu Mincho" w:hAnsi="Cambria Math" w:cs="Times New Roman"/>
            <w:sz w:val="21"/>
            <w:szCs w:val="21"/>
          </w:rPr>
          <m:t xml:space="preserve"> (i=1,2,3,4)</m:t>
        </m:r>
      </m:oMath>
      <w:r w:rsidRPr="00A31483">
        <w:rPr>
          <w:rFonts w:ascii="Times New Roman" w:eastAsia="Yu Mincho" w:hAnsi="Times New Roman" w:cs="Times New Roman"/>
          <w:sz w:val="21"/>
          <w:szCs w:val="21"/>
        </w:rPr>
        <w:t xml:space="preserve"> </w:t>
      </w:r>
      <w:r w:rsidRPr="00901AA6">
        <w:rPr>
          <w:rFonts w:ascii="Times New Roman" w:hAnsi="Times New Roman" w:cs="Times New Roman"/>
        </w:rPr>
        <w:t xml:space="preserve">and </w:t>
      </w:r>
      <m:oMath>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B</m:t>
            </m:r>
          </m:e>
          <m:sub>
            <m:r>
              <w:rPr>
                <w:rFonts w:ascii="Cambria Math" w:eastAsia="Yu Mincho" w:hAnsi="Cambria Math" w:cs="Times New Roman"/>
                <w:sz w:val="21"/>
                <w:szCs w:val="21"/>
              </w:rPr>
              <m:t>i</m:t>
            </m:r>
          </m:sub>
        </m:sSub>
        <m:r>
          <w:rPr>
            <w:rFonts w:ascii="Cambria Math" w:eastAsia="Yu Mincho" w:hAnsi="Cambria Math" w:cs="Times New Roman"/>
            <w:sz w:val="21"/>
            <w:szCs w:val="21"/>
          </w:rPr>
          <m:t xml:space="preserve"> </m:t>
        </m:r>
        <m:d>
          <m:dPr>
            <m:ctrlPr>
              <w:rPr>
                <w:rFonts w:ascii="Cambria Math" w:eastAsia="Yu Mincho" w:hAnsi="Cambria Math" w:cs="Times New Roman"/>
                <w:i/>
                <w:sz w:val="21"/>
                <w:szCs w:val="21"/>
              </w:rPr>
            </m:ctrlPr>
          </m:dPr>
          <m:e>
            <m:r>
              <w:rPr>
                <w:rFonts w:ascii="Cambria Math" w:eastAsia="Yu Mincho" w:hAnsi="Cambria Math" w:cs="Times New Roman"/>
                <w:sz w:val="21"/>
                <w:szCs w:val="21"/>
              </w:rPr>
              <m:t>i=1,2,3,4</m:t>
            </m:r>
          </m:e>
        </m:d>
        <m:r>
          <w:rPr>
            <w:rFonts w:ascii="Cambria Math" w:eastAsia="Yu Mincho" w:hAnsi="Cambria Math" w:cs="Times New Roman"/>
            <w:sz w:val="21"/>
            <w:szCs w:val="21"/>
          </w:rPr>
          <m:t xml:space="preserve"> </m:t>
        </m:r>
      </m:oMath>
      <w:r w:rsidRPr="00901AA6">
        <w:rPr>
          <w:rFonts w:ascii="Times New Roman" w:hAnsi="Times New Roman" w:cs="Times New Roman"/>
        </w:rPr>
        <w:t>were obtained:</w:t>
      </w:r>
    </w:p>
    <w:p w14:paraId="7E4573FC" w14:textId="77777777" w:rsidR="0062569E" w:rsidRPr="00901AA6" w:rsidRDefault="0062569E" w:rsidP="0062569E">
      <w:pPr>
        <w:rPr>
          <w:rFonts w:ascii="Times New Roman" w:hAnsi="Times New Roman" w:cs="Times New Roman"/>
        </w:rPr>
      </w:pPr>
    </w:p>
    <w:p w14:paraId="497F85A7" w14:textId="77777777" w:rsidR="0062569E" w:rsidRPr="00A31483" w:rsidRDefault="0062569E" w:rsidP="0062569E">
      <w:pPr>
        <w:rPr>
          <w:rFonts w:ascii="Times New Roman" w:eastAsia="Yu Mincho" w:hAnsi="Times New Roman" w:cs="Times New Roman"/>
          <w:sz w:val="21"/>
          <w:szCs w:val="21"/>
        </w:rPr>
      </w:pPr>
    </w:p>
    <w:p w14:paraId="3C37424B" w14:textId="77777777" w:rsidR="0062569E" w:rsidRPr="00A31483" w:rsidRDefault="0062569E" w:rsidP="0062569E">
      <w:pPr>
        <w:ind w:firstLineChars="1100" w:firstLine="2310"/>
        <w:rPr>
          <w:rFonts w:ascii="Times New Roman" w:eastAsia="Yu Mincho" w:hAnsi="Times New Roman" w:cs="Times New Roman"/>
          <w:sz w:val="21"/>
          <w:szCs w:val="21"/>
        </w:rPr>
      </w:pPr>
      <m:oMath>
        <m:r>
          <w:rPr>
            <w:rFonts w:ascii="Cambria Math" w:eastAsia="Yu Mincho" w:hAnsi="Cambria Math" w:cs="Times New Roman"/>
            <w:sz w:val="21"/>
            <w:szCs w:val="21"/>
          </w:rPr>
          <m:t>w=</m:t>
        </m:r>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A</m:t>
            </m:r>
          </m:e>
          <m:sub>
            <m:r>
              <w:rPr>
                <w:rFonts w:ascii="Cambria Math" w:eastAsia="Yu Mincho" w:hAnsi="Cambria Math" w:cs="Times New Roman"/>
                <w:sz w:val="21"/>
                <w:szCs w:val="21"/>
              </w:rPr>
              <m:t>1</m:t>
            </m:r>
          </m:sub>
        </m:sSub>
        <m:r>
          <w:rPr>
            <w:rFonts w:ascii="Cambria Math" w:eastAsia="Yu Mincho" w:hAnsi="Cambria Math" w:cs="Times New Roman"/>
            <w:sz w:val="21"/>
            <w:szCs w:val="21"/>
          </w:rPr>
          <m:t>×HV×DL+</m:t>
        </m:r>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A</m:t>
            </m:r>
          </m:e>
          <m:sub>
            <m:r>
              <w:rPr>
                <w:rFonts w:ascii="Cambria Math" w:eastAsia="Yu Mincho" w:hAnsi="Cambria Math" w:cs="Times New Roman"/>
                <w:sz w:val="21"/>
                <w:szCs w:val="21"/>
              </w:rPr>
              <m:t>2</m:t>
            </m:r>
          </m:sub>
        </m:sSub>
        <m:r>
          <w:rPr>
            <w:rFonts w:ascii="Cambria Math" w:eastAsia="Yu Mincho" w:hAnsi="Cambria Math" w:cs="Times New Roman"/>
            <w:sz w:val="21"/>
            <w:szCs w:val="21"/>
          </w:rPr>
          <m:t>×HV+</m:t>
        </m:r>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A</m:t>
            </m:r>
          </m:e>
          <m:sub>
            <m:r>
              <w:rPr>
                <w:rFonts w:ascii="Cambria Math" w:eastAsia="Yu Mincho" w:hAnsi="Cambria Math" w:cs="Times New Roman"/>
                <w:sz w:val="21"/>
                <w:szCs w:val="21"/>
              </w:rPr>
              <m:t>3</m:t>
            </m:r>
          </m:sub>
        </m:sSub>
        <m:r>
          <w:rPr>
            <w:rFonts w:ascii="Cambria Math" w:eastAsia="Yu Mincho" w:hAnsi="Cambria Math" w:cs="Times New Roman"/>
            <w:sz w:val="21"/>
            <w:szCs w:val="21"/>
          </w:rPr>
          <m:t>×DL+</m:t>
        </m:r>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A</m:t>
            </m:r>
          </m:e>
          <m:sub>
            <m:r>
              <w:rPr>
                <w:rFonts w:ascii="Cambria Math" w:eastAsia="Yu Mincho" w:hAnsi="Cambria Math" w:cs="Times New Roman"/>
                <w:sz w:val="21"/>
                <w:szCs w:val="21"/>
              </w:rPr>
              <m:t>4</m:t>
            </m:r>
          </m:sub>
        </m:sSub>
      </m:oMath>
      <w:r w:rsidRPr="00A31483">
        <w:rPr>
          <w:rFonts w:ascii="Times New Roman" w:eastAsia="Yu Mincho" w:hAnsi="Times New Roman" w:cs="Times New Roman"/>
          <w:sz w:val="21"/>
          <w:szCs w:val="21"/>
        </w:rPr>
        <w:t xml:space="preserve">              (1)</w:t>
      </w:r>
    </w:p>
    <w:p w14:paraId="2EF6FCEE" w14:textId="77777777" w:rsidR="0062569E" w:rsidRPr="00901AA6" w:rsidRDefault="0062569E" w:rsidP="0062569E">
      <w:pPr>
        <w:rPr>
          <w:rFonts w:ascii="Times New Roman" w:eastAsia="Yu Mincho" w:hAnsi="Times New Roman" w:cs="Times New Roman"/>
          <w:sz w:val="21"/>
          <w:szCs w:val="21"/>
        </w:rPr>
      </w:pPr>
    </w:p>
    <w:p w14:paraId="54520D74" w14:textId="77777777" w:rsidR="0062569E" w:rsidRPr="00A31483" w:rsidRDefault="0062569E" w:rsidP="0062569E">
      <w:pPr>
        <w:ind w:firstLineChars="1100" w:firstLine="2310"/>
        <w:rPr>
          <w:rFonts w:ascii="Times New Roman" w:eastAsia="Yu Mincho" w:hAnsi="Times New Roman" w:cs="Times New Roman"/>
          <w:sz w:val="21"/>
          <w:szCs w:val="21"/>
        </w:rPr>
      </w:pPr>
      <m:oMath>
        <m:r>
          <w:rPr>
            <w:rFonts w:ascii="Cambria Math" w:eastAsia="Yu Mincho" w:hAnsi="Cambria Math" w:cs="Times New Roman"/>
            <w:sz w:val="21"/>
            <w:szCs w:val="21"/>
          </w:rPr>
          <m:t>d=</m:t>
        </m:r>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B</m:t>
            </m:r>
          </m:e>
          <m:sub>
            <m:r>
              <w:rPr>
                <w:rFonts w:ascii="Cambria Math" w:eastAsia="Yu Mincho" w:hAnsi="Cambria Math" w:cs="Times New Roman"/>
                <w:sz w:val="21"/>
                <w:szCs w:val="21"/>
              </w:rPr>
              <m:t>1</m:t>
            </m:r>
          </m:sub>
        </m:sSub>
        <m:r>
          <w:rPr>
            <w:rFonts w:ascii="Cambria Math" w:eastAsia="Yu Mincho" w:hAnsi="Cambria Math" w:cs="Times New Roman"/>
            <w:sz w:val="21"/>
            <w:szCs w:val="21"/>
          </w:rPr>
          <m:t>×HV×DL+</m:t>
        </m:r>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B</m:t>
            </m:r>
          </m:e>
          <m:sub>
            <m:r>
              <w:rPr>
                <w:rFonts w:ascii="Cambria Math" w:eastAsia="Yu Mincho" w:hAnsi="Cambria Math" w:cs="Times New Roman"/>
                <w:sz w:val="21"/>
                <w:szCs w:val="21"/>
              </w:rPr>
              <m:t>2</m:t>
            </m:r>
          </m:sub>
        </m:sSub>
        <m:r>
          <w:rPr>
            <w:rFonts w:ascii="Cambria Math" w:eastAsia="Yu Mincho" w:hAnsi="Cambria Math" w:cs="Times New Roman"/>
            <w:sz w:val="21"/>
            <w:szCs w:val="21"/>
          </w:rPr>
          <m:t>×HV+</m:t>
        </m:r>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B</m:t>
            </m:r>
          </m:e>
          <m:sub>
            <m:r>
              <w:rPr>
                <w:rFonts w:ascii="Cambria Math" w:eastAsia="Yu Mincho" w:hAnsi="Cambria Math" w:cs="Times New Roman"/>
                <w:sz w:val="21"/>
                <w:szCs w:val="21"/>
              </w:rPr>
              <m:t>3</m:t>
            </m:r>
          </m:sub>
        </m:sSub>
        <m:r>
          <w:rPr>
            <w:rFonts w:ascii="Cambria Math" w:eastAsia="Yu Mincho" w:hAnsi="Cambria Math" w:cs="Times New Roman"/>
            <w:sz w:val="21"/>
            <w:szCs w:val="21"/>
          </w:rPr>
          <m:t>×DL+</m:t>
        </m:r>
        <m:sSub>
          <m:sSubPr>
            <m:ctrlPr>
              <w:rPr>
                <w:rFonts w:ascii="Cambria Math" w:eastAsia="Yu Mincho" w:hAnsi="Cambria Math" w:cs="Times New Roman"/>
                <w:i/>
                <w:sz w:val="21"/>
                <w:szCs w:val="21"/>
              </w:rPr>
            </m:ctrlPr>
          </m:sSubPr>
          <m:e>
            <m:r>
              <w:rPr>
                <w:rFonts w:ascii="Cambria Math" w:eastAsia="Yu Mincho" w:hAnsi="Cambria Math" w:cs="Times New Roman"/>
                <w:sz w:val="21"/>
                <w:szCs w:val="21"/>
              </w:rPr>
              <m:t>B</m:t>
            </m:r>
          </m:e>
          <m:sub>
            <m:r>
              <w:rPr>
                <w:rFonts w:ascii="Cambria Math" w:eastAsia="Yu Mincho" w:hAnsi="Cambria Math" w:cs="Times New Roman"/>
                <w:sz w:val="21"/>
                <w:szCs w:val="21"/>
              </w:rPr>
              <m:t>4</m:t>
            </m:r>
          </m:sub>
        </m:sSub>
      </m:oMath>
      <w:r w:rsidRPr="00A31483">
        <w:rPr>
          <w:rFonts w:ascii="Times New Roman" w:eastAsia="Yu Mincho" w:hAnsi="Times New Roman" w:cs="Times New Roman"/>
          <w:sz w:val="21"/>
          <w:szCs w:val="21"/>
        </w:rPr>
        <w:t xml:space="preserve">                (2)</w:t>
      </w:r>
    </w:p>
    <w:p w14:paraId="6ADAF08E" w14:textId="77777777" w:rsidR="0062569E" w:rsidRPr="00901AA6" w:rsidRDefault="0062569E" w:rsidP="0062569E">
      <w:pPr>
        <w:rPr>
          <w:rFonts w:ascii="Times New Roman" w:hAnsi="Times New Roman" w:cs="Times New Roman"/>
        </w:rPr>
      </w:pPr>
    </w:p>
    <w:p w14:paraId="6C4B7A7C" w14:textId="77777777" w:rsidR="0062569E" w:rsidRDefault="0062569E" w:rsidP="0062569E">
      <w:pPr>
        <w:rPr>
          <w:rFonts w:ascii="Times New Roman" w:hAnsi="Times New Roman" w:cs="Times New Roman"/>
        </w:rPr>
      </w:pPr>
      <w:r w:rsidRPr="00901AA6">
        <w:rPr>
          <w:rFonts w:ascii="Times New Roman" w:hAnsi="Times New Roman" w:cs="Times New Roman"/>
        </w:rPr>
        <w:t>The</w:t>
      </w:r>
      <w:r>
        <w:rPr>
          <w:rFonts w:ascii="Times New Roman" w:hAnsi="Times New Roman" w:cs="Times New Roman" w:hint="eastAsia"/>
        </w:rPr>
        <w:t xml:space="preserve"> obtained</w:t>
      </w:r>
      <w:r w:rsidRPr="00901AA6">
        <w:rPr>
          <w:rFonts w:ascii="Times New Roman" w:hAnsi="Times New Roman" w:cs="Times New Roman"/>
        </w:rPr>
        <w:t xml:space="preserve"> values of coefficients </w:t>
      </w:r>
      <m:oMath>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i</m:t>
            </m:r>
          </m:sub>
        </m:sSub>
      </m:oMath>
      <w:r w:rsidRPr="00901AA6">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i</m:t>
            </m:r>
          </m:sub>
        </m:sSub>
      </m:oMath>
      <w:r>
        <w:rPr>
          <w:rFonts w:ascii="Times New Roman" w:hAnsi="Times New Roman" w:cs="Times New Roman" w:hint="eastAsia"/>
        </w:rPr>
        <w:t xml:space="preserve"> </w:t>
      </w:r>
      <w:r w:rsidRPr="00901AA6">
        <w:rPr>
          <w:rFonts w:ascii="Times New Roman" w:hAnsi="Times New Roman" w:cs="Times New Roman"/>
        </w:rPr>
        <w:t xml:space="preserve">are </w:t>
      </w:r>
      <w:r>
        <w:rPr>
          <w:rFonts w:ascii="Times New Roman" w:hAnsi="Times New Roman" w:cs="Times New Roman" w:hint="eastAsia"/>
        </w:rPr>
        <w:t>shown</w:t>
      </w:r>
      <w:r w:rsidRPr="00901AA6">
        <w:rPr>
          <w:rFonts w:ascii="Times New Roman" w:hAnsi="Times New Roman" w:cs="Times New Roman"/>
        </w:rPr>
        <w:t xml:space="preserve"> in Table 3.</w:t>
      </w:r>
    </w:p>
    <w:p w14:paraId="26A6CD7A" w14:textId="77777777" w:rsidR="0062569E" w:rsidRPr="006363C9" w:rsidRDefault="0062569E" w:rsidP="0062569E">
      <w:pPr>
        <w:rPr>
          <w:rFonts w:ascii="Times New Roman" w:hAnsi="Times New Roman" w:cs="Times New Roman"/>
        </w:rPr>
      </w:pPr>
    </w:p>
    <w:p w14:paraId="6825807C" w14:textId="77777777" w:rsidR="0062569E" w:rsidRPr="00901AA6" w:rsidRDefault="0062569E" w:rsidP="0062569E">
      <w:pPr>
        <w:rPr>
          <w:rFonts w:ascii="Times New Roman" w:hAnsi="Times New Roman" w:cs="Times New Roman"/>
        </w:rPr>
      </w:pPr>
      <w:r w:rsidRPr="00901AA6">
        <w:rPr>
          <w:rFonts w:ascii="Times New Roman" w:hAnsi="Times New Roman" w:cs="Times New Roman"/>
        </w:rPr>
        <w:t xml:space="preserve">For other parameters in the </w:t>
      </w:r>
      <w:r>
        <w:rPr>
          <w:rFonts w:ascii="Times New Roman" w:hAnsi="Times New Roman" w:cs="Times New Roman" w:hint="eastAsia"/>
        </w:rPr>
        <w:t>heat</w:t>
      </w:r>
      <w:r w:rsidRPr="00901AA6">
        <w:rPr>
          <w:rFonts w:ascii="Times New Roman" w:hAnsi="Times New Roman" w:cs="Times New Roman"/>
        </w:rPr>
        <w:t xml:space="preserve"> conduction analysis, the vertical position of the heat source center was set equal to the layer thickness. The welding speed was fixed at 1.667 mm/s, and the heat source length was fixed at 2 mm. The thermal properties of the base metal and weld metal were </w:t>
      </w:r>
      <w:r>
        <w:rPr>
          <w:rFonts w:ascii="Times New Roman" w:hAnsi="Times New Roman" w:cs="Times New Roman" w:hint="eastAsia"/>
        </w:rPr>
        <w:t>calculated by</w:t>
      </w:r>
      <w:r w:rsidRPr="00901AA6">
        <w:rPr>
          <w:rFonts w:ascii="Times New Roman" w:hAnsi="Times New Roman" w:cs="Times New Roman"/>
        </w:rPr>
        <w:t xml:space="preserve"> JMatPro [21], </w:t>
      </w:r>
      <w:r>
        <w:rPr>
          <w:rFonts w:ascii="Times New Roman" w:hAnsi="Times New Roman" w:cs="Times New Roman" w:hint="eastAsia"/>
        </w:rPr>
        <w:t>with</w:t>
      </w:r>
      <w:r w:rsidRPr="00901AA6">
        <w:rPr>
          <w:rFonts w:ascii="Times New Roman" w:hAnsi="Times New Roman" w:cs="Times New Roman"/>
        </w:rPr>
        <w:t xml:space="preserve"> the chemical compositions</w:t>
      </w:r>
      <w:r>
        <w:rPr>
          <w:rFonts w:ascii="Times New Roman" w:hAnsi="Times New Roman" w:cs="Times New Roman" w:hint="eastAsia"/>
        </w:rPr>
        <w:t xml:space="preserve"> of base metal and weld materials</w:t>
      </w:r>
      <w:r w:rsidRPr="00901AA6">
        <w:rPr>
          <w:rFonts w:ascii="Times New Roman" w:hAnsi="Times New Roman" w:cs="Times New Roman"/>
        </w:rPr>
        <w:t xml:space="preserve"> shown in Table 1.</w:t>
      </w:r>
    </w:p>
    <w:p w14:paraId="01BEF39C" w14:textId="77777777" w:rsidR="0062569E" w:rsidRPr="00AA5B6B" w:rsidRDefault="0062569E" w:rsidP="0062569E">
      <w:pPr>
        <w:rPr>
          <w:rFonts w:ascii="Times New Roman" w:hAnsi="Times New Roman" w:cs="Times New Roman"/>
        </w:rPr>
      </w:pPr>
    </w:p>
    <w:p w14:paraId="159463FE" w14:textId="77777777" w:rsidR="0062569E" w:rsidRDefault="0062569E" w:rsidP="0062569E">
      <w:pPr>
        <w:rPr>
          <w:rFonts w:ascii="Times New Roman" w:hAnsi="Times New Roman" w:cs="Times New Roman"/>
        </w:rPr>
      </w:pPr>
      <w:r w:rsidRPr="00901AA6">
        <w:rPr>
          <w:rFonts w:ascii="Times New Roman" w:hAnsi="Times New Roman" w:cs="Times New Roman"/>
        </w:rPr>
        <w:t>The parameters used in the creep damage analysis were based on the prior study [15] and correspond to the test conditions in this study</w:t>
      </w:r>
      <w:r>
        <w:rPr>
          <w:rFonts w:ascii="Times New Roman" w:hAnsi="Times New Roman" w:cs="Times New Roman" w:hint="eastAsia"/>
        </w:rPr>
        <w:t>,</w:t>
      </w:r>
      <w:r w:rsidRPr="00901AA6">
        <w:rPr>
          <w:rFonts w:ascii="Times New Roman" w:hAnsi="Times New Roman" w:cs="Times New Roman"/>
        </w:rPr>
        <w:t xml:space="preserve"> 873 K and 100 MPa. The values used are listed in Table 4. Parameters for </w:t>
      </w:r>
      <w:r>
        <w:rPr>
          <w:rFonts w:ascii="Times New Roman" w:hAnsi="Times New Roman" w:cs="Times New Roman" w:hint="eastAsia"/>
        </w:rPr>
        <w:t xml:space="preserve">both </w:t>
      </w:r>
      <w:r w:rsidRPr="00901AA6">
        <w:rPr>
          <w:rFonts w:ascii="Times New Roman" w:hAnsi="Times New Roman" w:cs="Times New Roman"/>
        </w:rPr>
        <w:t>the base metal and weld metal were taken from the base metal, while parameters for the HAZ were taken from the simulated HAZ. The creep deformation law was the Norton–Arrhenius law, and the creep damage model followed the time</w:t>
      </w:r>
      <w:r>
        <w:rPr>
          <w:rFonts w:ascii="Times New Roman" w:hAnsi="Times New Roman" w:cs="Times New Roman" w:hint="eastAsia"/>
        </w:rPr>
        <w:t xml:space="preserve"> </w:t>
      </w:r>
      <w:r w:rsidRPr="00901AA6">
        <w:rPr>
          <w:rFonts w:ascii="Times New Roman" w:hAnsi="Times New Roman" w:cs="Times New Roman"/>
        </w:rPr>
        <w:t xml:space="preserve">fraction law </w:t>
      </w:r>
      <w:r>
        <w:rPr>
          <w:rFonts w:ascii="Times New Roman" w:hAnsi="Times New Roman" w:cs="Times New Roman" w:hint="eastAsia"/>
        </w:rPr>
        <w:t>with using</w:t>
      </w:r>
      <w:r w:rsidRPr="00901AA6">
        <w:rPr>
          <w:rFonts w:ascii="Times New Roman" w:hAnsi="Times New Roman" w:cs="Times New Roman"/>
        </w:rPr>
        <w:t xml:space="preserve"> Huddleston stress [22].</w:t>
      </w:r>
    </w:p>
    <w:p w14:paraId="78CCC337" w14:textId="77777777" w:rsidR="0062569E" w:rsidRDefault="0062569E" w:rsidP="0062569E">
      <w:pPr>
        <w:rPr>
          <w:rFonts w:ascii="Times New Roman" w:hAnsi="Times New Roman" w:cs="Times New Roman"/>
        </w:rPr>
      </w:pPr>
      <w:r>
        <w:rPr>
          <w:rFonts w:ascii="Times New Roman" w:hAnsi="Times New Roman" w:cs="Times New Roman"/>
        </w:rPr>
        <w:br w:type="page"/>
      </w:r>
    </w:p>
    <w:p w14:paraId="626A11CF" w14:textId="77777777" w:rsidR="0062569E" w:rsidRPr="00D904DA" w:rsidRDefault="0062569E" w:rsidP="0062569E">
      <w:pPr>
        <w:rPr>
          <w:rFonts w:ascii="Times New Roman" w:hAnsi="Times New Roman" w:cs="Times New Roman"/>
          <w:b/>
          <w:bCs/>
        </w:rPr>
      </w:pPr>
      <w:r w:rsidRPr="00D904DA">
        <w:rPr>
          <w:rFonts w:ascii="Times New Roman" w:hAnsi="Times New Roman" w:cs="Times New Roman"/>
          <w:b/>
          <w:bCs/>
        </w:rPr>
        <w:lastRenderedPageBreak/>
        <w:t>Appendix 2. Table of welding path thickness configuration and pair numbers</w:t>
      </w:r>
    </w:p>
    <w:p w14:paraId="1A3A23B8" w14:textId="77777777" w:rsidR="0062569E" w:rsidRPr="00D904DA" w:rsidRDefault="0062569E" w:rsidP="0062569E">
      <w:pPr>
        <w:rPr>
          <w:rFonts w:ascii="Times New Roman" w:hAnsi="Times New Roman" w:cs="Times New Roman"/>
        </w:rPr>
      </w:pPr>
    </w:p>
    <w:p w14:paraId="43790470" w14:textId="77777777" w:rsidR="0062569E" w:rsidRDefault="0062569E" w:rsidP="0062569E">
      <w:pPr>
        <w:rPr>
          <w:rFonts w:ascii="Times New Roman" w:hAnsi="Times New Roman" w:cs="Times New Roman"/>
        </w:rPr>
      </w:pPr>
    </w:p>
    <w:tbl>
      <w:tblPr>
        <w:tblpPr w:leftFromText="142" w:rightFromText="142" w:vertAnchor="page" w:horzAnchor="margin" w:tblpXSpec="center" w:tblpY="2557"/>
        <w:tblW w:w="8364" w:type="dxa"/>
        <w:tblCellMar>
          <w:left w:w="0" w:type="dxa"/>
          <w:right w:w="0" w:type="dxa"/>
        </w:tblCellMar>
        <w:tblLook w:val="0400" w:firstRow="0" w:lastRow="0" w:firstColumn="0" w:lastColumn="0" w:noHBand="0" w:noVBand="1"/>
      </w:tblPr>
      <w:tblGrid>
        <w:gridCol w:w="1035"/>
        <w:gridCol w:w="1659"/>
        <w:gridCol w:w="1701"/>
        <w:gridCol w:w="2693"/>
        <w:gridCol w:w="1276"/>
      </w:tblGrid>
      <w:tr w:rsidR="0062569E" w:rsidRPr="00F15C81" w14:paraId="29B9662F" w14:textId="77777777" w:rsidTr="006C668B">
        <w:trPr>
          <w:trHeight w:val="1122"/>
        </w:trPr>
        <w:tc>
          <w:tcPr>
            <w:tcW w:w="1035" w:type="dxa"/>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14AC182E"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b/>
                <w:bCs/>
              </w:rPr>
              <w:t>number</w:t>
            </w:r>
          </w:p>
          <w:p w14:paraId="292847DF" w14:textId="77777777" w:rsidR="0062569E" w:rsidRDefault="0062569E" w:rsidP="006C668B">
            <w:pPr>
              <w:jc w:val="center"/>
              <w:rPr>
                <w:rFonts w:ascii="Times New Roman" w:hAnsi="Times New Roman" w:cs="Times New Roman"/>
                <w:b/>
                <w:bCs/>
              </w:rPr>
            </w:pPr>
            <w:r w:rsidRPr="00F15C81">
              <w:rPr>
                <w:rFonts w:ascii="Times New Roman" w:hAnsi="Times New Roman" w:cs="Times New Roman"/>
                <w:b/>
                <w:bCs/>
              </w:rPr>
              <w:t>of</w:t>
            </w:r>
          </w:p>
          <w:p w14:paraId="095A0178"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b/>
                <w:bCs/>
              </w:rPr>
              <w:t>layers</w:t>
            </w:r>
          </w:p>
        </w:tc>
        <w:tc>
          <w:tcPr>
            <w:tcW w:w="1659" w:type="dxa"/>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5CF708B2"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b/>
                <w:bCs/>
              </w:rPr>
              <w:t>layer thickness combination</w:t>
            </w:r>
          </w:p>
          <w:p w14:paraId="0C158609"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hint="eastAsia"/>
              </w:rPr>
              <w:t>whose sum</w:t>
            </w:r>
          </w:p>
          <w:p w14:paraId="30C3B3EE"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hint="eastAsia"/>
              </w:rPr>
              <w:t>= 9</w:t>
            </w:r>
            <w:r>
              <w:rPr>
                <w:rFonts w:ascii="Times New Roman" w:hAnsi="Times New Roman" w:cs="Times New Roman" w:hint="eastAsia"/>
              </w:rPr>
              <w:t xml:space="preserve"> </w:t>
            </w:r>
            <w:r w:rsidRPr="00F15C81">
              <w:rPr>
                <w:rFonts w:ascii="Times New Roman" w:hAnsi="Times New Roman" w:cs="Times New Roman"/>
              </w:rPr>
              <w:t>(mm)</w:t>
            </w:r>
          </w:p>
        </w:tc>
        <w:tc>
          <w:tcPr>
            <w:tcW w:w="1701" w:type="dxa"/>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5EDA6ED3"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hint="eastAsia"/>
                <w:b/>
                <w:bCs/>
              </w:rPr>
              <w:t>layer thickness</w:t>
            </w:r>
          </w:p>
          <w:p w14:paraId="7CDA8BC9"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hint="eastAsia"/>
                <w:b/>
                <w:bCs/>
              </w:rPr>
              <w:t>configuration</w:t>
            </w:r>
          </w:p>
          <w:p w14:paraId="673196E0"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hint="eastAsia"/>
                <w:b/>
                <w:bCs/>
              </w:rPr>
              <w:t>pattern</w:t>
            </w:r>
          </w:p>
        </w:tc>
        <w:tc>
          <w:tcPr>
            <w:tcW w:w="2693" w:type="dxa"/>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74760F20"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hint="eastAsia"/>
                <w:b/>
                <w:bCs/>
              </w:rPr>
              <w:t>layer thickness</w:t>
            </w:r>
          </w:p>
          <w:p w14:paraId="702F3336"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hint="eastAsia"/>
                <w:b/>
                <w:bCs/>
              </w:rPr>
              <w:t>configuration pattern</w:t>
            </w:r>
          </w:p>
          <w:p w14:paraId="5DCC90BB"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hint="eastAsia"/>
                <w:b/>
                <w:bCs/>
              </w:rPr>
              <w:t>× heat input pattern</w:t>
            </w:r>
          </w:p>
        </w:tc>
        <w:tc>
          <w:tcPr>
            <w:tcW w:w="1276" w:type="dxa"/>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0BD9485A"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hint="eastAsia"/>
                <w:b/>
                <w:bCs/>
              </w:rPr>
              <w:t>total</w:t>
            </w:r>
          </w:p>
        </w:tc>
      </w:tr>
      <w:tr w:rsidR="0062569E" w:rsidRPr="00F15C81" w14:paraId="1D94C16E" w14:textId="77777777" w:rsidTr="006C668B">
        <w:trPr>
          <w:trHeight w:val="443"/>
        </w:trPr>
        <w:tc>
          <w:tcPr>
            <w:tcW w:w="1035"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4891E979"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rPr>
              <w:t>3</w:t>
            </w:r>
          </w:p>
        </w:tc>
        <w:tc>
          <w:tcPr>
            <w:tcW w:w="1659"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20B69CFA"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3 3 3</m:t>
              </m:r>
            </m:oMath>
          </w:p>
        </w:tc>
        <w:tc>
          <w:tcPr>
            <w:tcW w:w="1701"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18B0EA61"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1 </m:t>
                </m:r>
              </m:oMath>
            </m:oMathPara>
          </w:p>
        </w:tc>
        <w:tc>
          <w:tcPr>
            <w:tcW w:w="2693"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561C509F"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1×64=64 </m:t>
                </m:r>
              </m:oMath>
            </m:oMathPara>
          </w:p>
        </w:tc>
        <w:tc>
          <w:tcPr>
            <w:tcW w:w="1276"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174DC53F"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64 </m:t>
                </m:r>
              </m:oMath>
            </m:oMathPara>
          </w:p>
        </w:tc>
      </w:tr>
      <w:tr w:rsidR="0062569E" w:rsidRPr="00F15C81" w14:paraId="26AADE9B" w14:textId="77777777" w:rsidTr="006C668B">
        <w:trPr>
          <w:trHeight w:val="222"/>
        </w:trPr>
        <w:tc>
          <w:tcPr>
            <w:tcW w:w="1035" w:type="dxa"/>
            <w:vMerge w:val="restart"/>
            <w:tcBorders>
              <w:top w:val="single" w:sz="4" w:space="0" w:color="000000"/>
              <w:left w:val="nil"/>
              <w:bottom w:val="single" w:sz="8" w:space="0" w:color="7F7F7F"/>
              <w:right w:val="nil"/>
            </w:tcBorders>
            <w:tcMar>
              <w:top w:w="12" w:type="dxa"/>
              <w:left w:w="12" w:type="dxa"/>
              <w:bottom w:w="0" w:type="dxa"/>
              <w:right w:w="12" w:type="dxa"/>
            </w:tcMar>
            <w:vAlign w:val="center"/>
            <w:hideMark/>
          </w:tcPr>
          <w:p w14:paraId="6ECD4DA2"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rPr>
              <w:t>4</w:t>
            </w: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528344A"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2 2 2 3</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26ADF37"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vertAlign w:val="subscript"/>
                  </w:rPr>
                  <m:t>4</m:t>
                </m:r>
                <m:r>
                  <w:rPr>
                    <w:rFonts w:ascii="Cambria Math" w:hAnsi="Cambria Math" w:cs="Times New Roman"/>
                  </w:rPr>
                  <m:t>C</m:t>
                </m:r>
                <m:r>
                  <w:rPr>
                    <w:rFonts w:ascii="Cambria Math" w:hAnsi="Cambria Math" w:cs="Times New Roman"/>
                    <w:vertAlign w:val="subscript"/>
                  </w:rPr>
                  <m:t>1</m:t>
                </m:r>
                <m:r>
                  <w:rPr>
                    <w:rFonts w:ascii="Cambria Math" w:hAnsi="Cambria Math" w:cs="Times New Roman"/>
                  </w:rPr>
                  <m:t>=4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901FCC6"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4×256=1024 </m:t>
                </m:r>
              </m:oMath>
            </m:oMathPara>
          </w:p>
        </w:tc>
        <w:tc>
          <w:tcPr>
            <w:tcW w:w="1276" w:type="dxa"/>
            <w:vMerge w:val="restart"/>
            <w:tcBorders>
              <w:top w:val="single" w:sz="4" w:space="0" w:color="000000"/>
              <w:left w:val="nil"/>
              <w:bottom w:val="single" w:sz="8" w:space="0" w:color="7F7F7F"/>
              <w:right w:val="nil"/>
            </w:tcBorders>
            <w:tcMar>
              <w:top w:w="12" w:type="dxa"/>
              <w:left w:w="12" w:type="dxa"/>
              <w:bottom w:w="0" w:type="dxa"/>
              <w:right w:w="12" w:type="dxa"/>
            </w:tcMar>
            <w:vAlign w:val="center"/>
            <w:hideMark/>
          </w:tcPr>
          <w:p w14:paraId="3C4B0FD3"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4096 </m:t>
                </m:r>
              </m:oMath>
            </m:oMathPara>
          </w:p>
        </w:tc>
      </w:tr>
      <w:tr w:rsidR="0062569E" w:rsidRPr="00F15C81" w14:paraId="605F4CFC" w14:textId="77777777" w:rsidTr="006C668B">
        <w:trPr>
          <w:trHeight w:val="222"/>
        </w:trPr>
        <w:tc>
          <w:tcPr>
            <w:tcW w:w="1035" w:type="dxa"/>
            <w:vMerge/>
            <w:tcBorders>
              <w:top w:val="single" w:sz="4" w:space="0" w:color="000000"/>
              <w:left w:val="nil"/>
              <w:bottom w:val="single" w:sz="8" w:space="0" w:color="7F7F7F"/>
              <w:right w:val="nil"/>
            </w:tcBorders>
            <w:vAlign w:val="center"/>
            <w:hideMark/>
          </w:tcPr>
          <w:p w14:paraId="042AA8B1" w14:textId="77777777" w:rsidR="0062569E" w:rsidRPr="00F15C81" w:rsidRDefault="0062569E" w:rsidP="006C668B">
            <w:pPr>
              <w:jc w:val="center"/>
              <w:rPr>
                <w:rFonts w:ascii="Times New Roman" w:hAnsi="Times New Roman" w:cs="Times New Roman"/>
              </w:rPr>
            </w:pP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396539B"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1 2 3 3</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912622F"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vertAlign w:val="subscript"/>
                  </w:rPr>
                  <m:t>4</m:t>
                </m:r>
                <m:r>
                  <w:rPr>
                    <w:rFonts w:ascii="Cambria Math" w:hAnsi="Cambria Math" w:cs="Times New Roman"/>
                  </w:rPr>
                  <m:t>C</m:t>
                </m:r>
                <m:r>
                  <w:rPr>
                    <w:rFonts w:ascii="Cambria Math" w:hAnsi="Cambria Math" w:cs="Times New Roman"/>
                    <w:vertAlign w:val="subscript"/>
                  </w:rPr>
                  <m:t>2</m:t>
                </m:r>
                <m:r>
                  <w:rPr>
                    <w:rFonts w:ascii="Cambria Math" w:hAnsi="Cambria Math" w:cs="Times New Roman" w:hint="eastAsia"/>
                  </w:rPr>
                  <m:t>×</m:t>
                </m:r>
                <m:r>
                  <w:rPr>
                    <w:rFonts w:ascii="Cambria Math" w:hAnsi="Cambria Math" w:cs="Times New Roman"/>
                    <w:vertAlign w:val="subscript"/>
                  </w:rPr>
                  <m:t>2</m:t>
                </m:r>
                <m:r>
                  <w:rPr>
                    <w:rFonts w:ascii="Cambria Math" w:hAnsi="Cambria Math" w:cs="Times New Roman"/>
                  </w:rPr>
                  <m:t>C</m:t>
                </m:r>
                <m:r>
                  <w:rPr>
                    <w:rFonts w:ascii="Cambria Math" w:hAnsi="Cambria Math" w:cs="Times New Roman"/>
                    <w:vertAlign w:val="subscript"/>
                  </w:rPr>
                  <m:t>1</m:t>
                </m:r>
                <m:r>
                  <w:rPr>
                    <w:rFonts w:ascii="Cambria Math" w:hAnsi="Cambria Math" w:cs="Times New Roman"/>
                  </w:rPr>
                  <m:t>=12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14D8F1A"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12×256=3072</m:t>
                </m:r>
                <m:r>
                  <m:rPr>
                    <m:sty m:val="p"/>
                  </m:rPr>
                  <w:rPr>
                    <w:rFonts w:ascii="Cambria Math" w:hAnsi="Cambria Math" w:cs="Times New Roman"/>
                  </w:rPr>
                  <m:t> </m:t>
                </m:r>
              </m:oMath>
            </m:oMathPara>
          </w:p>
        </w:tc>
        <w:tc>
          <w:tcPr>
            <w:tcW w:w="1276" w:type="dxa"/>
            <w:vMerge/>
            <w:tcBorders>
              <w:top w:val="single" w:sz="4" w:space="0" w:color="000000"/>
              <w:left w:val="nil"/>
              <w:bottom w:val="single" w:sz="8" w:space="0" w:color="7F7F7F"/>
              <w:right w:val="nil"/>
            </w:tcBorders>
            <w:vAlign w:val="center"/>
            <w:hideMark/>
          </w:tcPr>
          <w:p w14:paraId="17778CC0" w14:textId="77777777" w:rsidR="0062569E" w:rsidRPr="00F15C81" w:rsidRDefault="0062569E" w:rsidP="006C668B">
            <w:pPr>
              <w:rPr>
                <w:rFonts w:ascii="Times New Roman" w:hAnsi="Times New Roman" w:cs="Times New Roman"/>
              </w:rPr>
            </w:pPr>
          </w:p>
        </w:tc>
      </w:tr>
      <w:tr w:rsidR="0062569E" w:rsidRPr="00F15C81" w14:paraId="0C999C61" w14:textId="77777777" w:rsidTr="006C668B">
        <w:trPr>
          <w:trHeight w:val="148"/>
        </w:trPr>
        <w:tc>
          <w:tcPr>
            <w:tcW w:w="1035" w:type="dxa"/>
            <w:vMerge w:val="restart"/>
            <w:tcBorders>
              <w:top w:val="single" w:sz="8" w:space="0" w:color="7F7F7F"/>
              <w:left w:val="nil"/>
              <w:bottom w:val="single" w:sz="4" w:space="0" w:color="000000"/>
              <w:right w:val="nil"/>
            </w:tcBorders>
            <w:tcMar>
              <w:top w:w="12" w:type="dxa"/>
              <w:left w:w="12" w:type="dxa"/>
              <w:bottom w:w="0" w:type="dxa"/>
              <w:right w:w="12" w:type="dxa"/>
            </w:tcMar>
            <w:vAlign w:val="center"/>
            <w:hideMark/>
          </w:tcPr>
          <w:p w14:paraId="43193D78"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rPr>
              <w:t>5</w:t>
            </w: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A58058D" w14:textId="77777777" w:rsidR="0062569E" w:rsidRPr="00F15C81" w:rsidRDefault="0062569E" w:rsidP="006C668B">
            <w:pPr>
              <w:ind w:firstLineChars="50" w:firstLine="110"/>
              <w:jc w:val="both"/>
              <w:rPr>
                <w:rFonts w:ascii="Times New Roman" w:hAnsi="Times New Roman" w:cs="Times New Roman"/>
              </w:rPr>
            </w:pPr>
            <m:oMath>
              <m:r>
                <w:rPr>
                  <w:rFonts w:ascii="Cambria Math" w:hAnsi="Cambria Math" w:cs="Times New Roman"/>
                </w:rPr>
                <m:t> 1 2 2 2 2</m:t>
              </m:r>
            </m:oMath>
            <w:r>
              <w:rPr>
                <w:rFonts w:ascii="Times New Roman" w:hAnsi="Times New Roman" w:cs="Times New Roman" w:hint="eastAsia"/>
                <w:iCs/>
              </w:rPr>
              <w:t xml:space="preserve"> </w:t>
            </w:r>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DD9CDB5"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5 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7B590A5"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5×1024=5120 </m:t>
                </m:r>
              </m:oMath>
            </m:oMathPara>
          </w:p>
        </w:tc>
        <w:tc>
          <w:tcPr>
            <w:tcW w:w="1276" w:type="dxa"/>
            <w:vMerge w:val="restart"/>
            <w:tcBorders>
              <w:top w:val="single" w:sz="8" w:space="0" w:color="7F7F7F"/>
              <w:left w:val="nil"/>
              <w:bottom w:val="single" w:sz="4" w:space="0" w:color="000000"/>
              <w:right w:val="nil"/>
            </w:tcBorders>
            <w:tcMar>
              <w:top w:w="12" w:type="dxa"/>
              <w:left w:w="12" w:type="dxa"/>
              <w:bottom w:w="0" w:type="dxa"/>
              <w:right w:w="12" w:type="dxa"/>
            </w:tcMar>
            <w:vAlign w:val="center"/>
            <w:hideMark/>
          </w:tcPr>
          <w:p w14:paraId="5B7AAF08"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46080 </m:t>
                </m:r>
              </m:oMath>
            </m:oMathPara>
          </w:p>
        </w:tc>
      </w:tr>
      <w:tr w:rsidR="0062569E" w:rsidRPr="00F15C81" w14:paraId="48340AF2" w14:textId="77777777" w:rsidTr="006C668B">
        <w:trPr>
          <w:trHeight w:val="200"/>
        </w:trPr>
        <w:tc>
          <w:tcPr>
            <w:tcW w:w="1035" w:type="dxa"/>
            <w:vMerge/>
            <w:tcBorders>
              <w:top w:val="single" w:sz="8" w:space="0" w:color="7F7F7F"/>
              <w:left w:val="nil"/>
              <w:bottom w:val="single" w:sz="4" w:space="0" w:color="000000"/>
              <w:right w:val="nil"/>
            </w:tcBorders>
            <w:vAlign w:val="center"/>
            <w:hideMark/>
          </w:tcPr>
          <w:p w14:paraId="7C10D9E0" w14:textId="77777777" w:rsidR="0062569E" w:rsidRPr="00F15C81" w:rsidRDefault="0062569E" w:rsidP="006C668B">
            <w:pPr>
              <w:jc w:val="center"/>
              <w:rPr>
                <w:rFonts w:ascii="Times New Roman" w:hAnsi="Times New Roman" w:cs="Times New Roman"/>
              </w:rPr>
            </w:pP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D835FC3"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1 1 1 3 3</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3FD7935"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vertAlign w:val="subscript"/>
                  </w:rPr>
                  <m:t>5</m:t>
                </m:r>
                <m:r>
                  <w:rPr>
                    <w:rFonts w:ascii="Cambria Math" w:hAnsi="Cambria Math" w:cs="Times New Roman"/>
                  </w:rPr>
                  <m:t>C</m:t>
                </m:r>
                <m:r>
                  <w:rPr>
                    <w:rFonts w:ascii="Cambria Math" w:hAnsi="Cambria Math" w:cs="Times New Roman"/>
                    <w:vertAlign w:val="subscript"/>
                  </w:rPr>
                  <m:t>2</m:t>
                </m:r>
                <m:r>
                  <w:rPr>
                    <w:rFonts w:ascii="Cambria Math" w:hAnsi="Cambria Math" w:cs="Times New Roman"/>
                  </w:rPr>
                  <m:t>=10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E1FB707"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10×1024=10240 </m:t>
                </m:r>
              </m:oMath>
            </m:oMathPara>
          </w:p>
        </w:tc>
        <w:tc>
          <w:tcPr>
            <w:tcW w:w="1276" w:type="dxa"/>
            <w:vMerge/>
            <w:tcBorders>
              <w:top w:val="single" w:sz="8" w:space="0" w:color="7F7F7F"/>
              <w:left w:val="nil"/>
              <w:bottom w:val="single" w:sz="4" w:space="0" w:color="000000"/>
              <w:right w:val="nil"/>
            </w:tcBorders>
            <w:vAlign w:val="center"/>
            <w:hideMark/>
          </w:tcPr>
          <w:p w14:paraId="31BD5A0A" w14:textId="77777777" w:rsidR="0062569E" w:rsidRPr="00F15C81" w:rsidRDefault="0062569E" w:rsidP="006C668B">
            <w:pPr>
              <w:rPr>
                <w:rFonts w:ascii="Times New Roman" w:hAnsi="Times New Roman" w:cs="Times New Roman"/>
              </w:rPr>
            </w:pPr>
          </w:p>
        </w:tc>
      </w:tr>
      <w:tr w:rsidR="0062569E" w:rsidRPr="00F15C81" w14:paraId="068635FC" w14:textId="77777777" w:rsidTr="006C668B">
        <w:tc>
          <w:tcPr>
            <w:tcW w:w="1035" w:type="dxa"/>
            <w:vMerge/>
            <w:tcBorders>
              <w:top w:val="single" w:sz="8" w:space="0" w:color="7F7F7F"/>
              <w:left w:val="nil"/>
              <w:bottom w:val="single" w:sz="4" w:space="0" w:color="000000"/>
              <w:right w:val="nil"/>
            </w:tcBorders>
            <w:vAlign w:val="center"/>
            <w:hideMark/>
          </w:tcPr>
          <w:p w14:paraId="0F94D38A" w14:textId="77777777" w:rsidR="0062569E" w:rsidRPr="00F15C81" w:rsidRDefault="0062569E" w:rsidP="006C668B">
            <w:pPr>
              <w:jc w:val="center"/>
              <w:rPr>
                <w:rFonts w:ascii="Times New Roman" w:hAnsi="Times New Roman" w:cs="Times New Roman"/>
              </w:rPr>
            </w:pP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B83FEA4"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1 1 2 2 3</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1CCCB8B"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vertAlign w:val="subscript"/>
                  </w:rPr>
                  <m:t>4</m:t>
                </m:r>
                <m:r>
                  <w:rPr>
                    <w:rFonts w:ascii="Cambria Math" w:hAnsi="Cambria Math" w:cs="Times New Roman"/>
                  </w:rPr>
                  <m:t>C</m:t>
                </m:r>
                <m:r>
                  <w:rPr>
                    <w:rFonts w:ascii="Cambria Math" w:hAnsi="Cambria Math" w:cs="Times New Roman"/>
                    <w:vertAlign w:val="subscript"/>
                  </w:rPr>
                  <m:t>2</m:t>
                </m:r>
                <m:r>
                  <w:rPr>
                    <w:rFonts w:ascii="Cambria Math" w:hAnsi="Cambria Math" w:cs="Times New Roman" w:hint="eastAsia"/>
                  </w:rPr>
                  <m:t>×</m:t>
                </m:r>
                <m:r>
                  <w:rPr>
                    <w:rFonts w:ascii="Cambria Math" w:hAnsi="Cambria Math" w:cs="Times New Roman" w:hint="eastAsia"/>
                  </w:rPr>
                  <m:t>5=30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8A977E6"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30×1024=30720 </m:t>
                </m:r>
              </m:oMath>
            </m:oMathPara>
          </w:p>
        </w:tc>
        <w:tc>
          <w:tcPr>
            <w:tcW w:w="1276" w:type="dxa"/>
            <w:vMerge/>
            <w:tcBorders>
              <w:top w:val="single" w:sz="8" w:space="0" w:color="7F7F7F"/>
              <w:left w:val="nil"/>
              <w:bottom w:val="single" w:sz="4" w:space="0" w:color="000000"/>
              <w:right w:val="nil"/>
            </w:tcBorders>
            <w:vAlign w:val="center"/>
            <w:hideMark/>
          </w:tcPr>
          <w:p w14:paraId="78699BAD" w14:textId="77777777" w:rsidR="0062569E" w:rsidRPr="00F15C81" w:rsidRDefault="0062569E" w:rsidP="006C668B">
            <w:pPr>
              <w:rPr>
                <w:rFonts w:ascii="Times New Roman" w:hAnsi="Times New Roman" w:cs="Times New Roman"/>
              </w:rPr>
            </w:pPr>
          </w:p>
        </w:tc>
      </w:tr>
      <w:tr w:rsidR="0062569E" w:rsidRPr="00F15C81" w14:paraId="0DB62ED2" w14:textId="77777777" w:rsidTr="006C668B">
        <w:trPr>
          <w:trHeight w:val="222"/>
        </w:trPr>
        <w:tc>
          <w:tcPr>
            <w:tcW w:w="1035" w:type="dxa"/>
            <w:vMerge w:val="restart"/>
            <w:tcBorders>
              <w:top w:val="single" w:sz="4" w:space="0" w:color="000000"/>
              <w:left w:val="nil"/>
              <w:bottom w:val="single" w:sz="8" w:space="0" w:color="7F7F7F"/>
              <w:right w:val="nil"/>
            </w:tcBorders>
            <w:tcMar>
              <w:top w:w="12" w:type="dxa"/>
              <w:left w:w="12" w:type="dxa"/>
              <w:bottom w:w="0" w:type="dxa"/>
              <w:right w:w="12" w:type="dxa"/>
            </w:tcMar>
            <w:vAlign w:val="center"/>
            <w:hideMark/>
          </w:tcPr>
          <w:p w14:paraId="65D1BB05"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rPr>
              <w:t>6</w:t>
            </w: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A008AAE"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1 1 1 2 2 2</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1D50336"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vertAlign w:val="subscript"/>
                  </w:rPr>
                  <m:t>6</m:t>
                </m:r>
                <m:r>
                  <w:rPr>
                    <w:rFonts w:ascii="Cambria Math" w:hAnsi="Cambria Math" w:cs="Times New Roman"/>
                  </w:rPr>
                  <m:t>C</m:t>
                </m:r>
                <m:r>
                  <w:rPr>
                    <w:rFonts w:ascii="Cambria Math" w:hAnsi="Cambria Math" w:cs="Times New Roman"/>
                    <w:vertAlign w:val="subscript"/>
                  </w:rPr>
                  <m:t>3</m:t>
                </m:r>
                <m:r>
                  <w:rPr>
                    <w:rFonts w:ascii="Cambria Math" w:hAnsi="Cambria Math" w:cs="Times New Roman"/>
                  </w:rPr>
                  <m:t>=20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3E90BD4"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20×4096=81920 </m:t>
                </m:r>
              </m:oMath>
            </m:oMathPara>
          </w:p>
        </w:tc>
        <w:tc>
          <w:tcPr>
            <w:tcW w:w="1276" w:type="dxa"/>
            <w:vMerge w:val="restart"/>
            <w:tcBorders>
              <w:top w:val="single" w:sz="4" w:space="0" w:color="000000"/>
              <w:left w:val="nil"/>
              <w:bottom w:val="single" w:sz="8" w:space="0" w:color="7F7F7F"/>
              <w:right w:val="nil"/>
            </w:tcBorders>
            <w:tcMar>
              <w:top w:w="12" w:type="dxa"/>
              <w:left w:w="12" w:type="dxa"/>
              <w:bottom w:w="0" w:type="dxa"/>
              <w:right w:w="12" w:type="dxa"/>
            </w:tcMar>
            <w:vAlign w:val="center"/>
            <w:hideMark/>
          </w:tcPr>
          <w:p w14:paraId="3E779C5B"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204800 </m:t>
                </m:r>
              </m:oMath>
            </m:oMathPara>
          </w:p>
        </w:tc>
      </w:tr>
      <w:tr w:rsidR="0062569E" w:rsidRPr="00F15C81" w14:paraId="06C2F2A7" w14:textId="77777777" w:rsidTr="006C668B">
        <w:trPr>
          <w:trHeight w:val="222"/>
        </w:trPr>
        <w:tc>
          <w:tcPr>
            <w:tcW w:w="1035" w:type="dxa"/>
            <w:vMerge/>
            <w:tcBorders>
              <w:top w:val="single" w:sz="4" w:space="0" w:color="000000"/>
              <w:left w:val="nil"/>
              <w:bottom w:val="single" w:sz="8" w:space="0" w:color="7F7F7F"/>
              <w:right w:val="nil"/>
            </w:tcBorders>
            <w:vAlign w:val="center"/>
            <w:hideMark/>
          </w:tcPr>
          <w:p w14:paraId="212EE703" w14:textId="77777777" w:rsidR="0062569E" w:rsidRPr="00F15C81" w:rsidRDefault="0062569E" w:rsidP="006C668B">
            <w:pPr>
              <w:jc w:val="center"/>
              <w:rPr>
                <w:rFonts w:ascii="Times New Roman" w:hAnsi="Times New Roman" w:cs="Times New Roman"/>
              </w:rPr>
            </w:pP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F6124D3"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1 1 1 1 2 3</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CCE781C"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vertAlign w:val="subscript"/>
                  </w:rPr>
                  <m:t>6</m:t>
                </m:r>
                <m:r>
                  <w:rPr>
                    <w:rFonts w:ascii="Cambria Math" w:hAnsi="Cambria Math" w:cs="Times New Roman"/>
                  </w:rPr>
                  <m:t>C</m:t>
                </m:r>
                <m:r>
                  <w:rPr>
                    <w:rFonts w:ascii="Cambria Math" w:hAnsi="Cambria Math" w:cs="Times New Roman"/>
                    <w:vertAlign w:val="subscript"/>
                  </w:rPr>
                  <m:t>2</m:t>
                </m:r>
                <m:r>
                  <w:rPr>
                    <w:rFonts w:ascii="Cambria Math" w:hAnsi="Cambria Math" w:cs="Times New Roman" w:hint="eastAsia"/>
                  </w:rPr>
                  <m:t>×</m:t>
                </m:r>
                <m:r>
                  <w:rPr>
                    <w:rFonts w:ascii="Cambria Math" w:hAnsi="Cambria Math" w:cs="Times New Roman"/>
                    <w:vertAlign w:val="subscript"/>
                  </w:rPr>
                  <m:t>2</m:t>
                </m:r>
                <m:r>
                  <w:rPr>
                    <w:rFonts w:ascii="Cambria Math" w:hAnsi="Cambria Math" w:cs="Times New Roman"/>
                  </w:rPr>
                  <m:t>C</m:t>
                </m:r>
                <m:r>
                  <w:rPr>
                    <w:rFonts w:ascii="Cambria Math" w:hAnsi="Cambria Math" w:cs="Times New Roman"/>
                    <w:vertAlign w:val="subscript"/>
                  </w:rPr>
                  <m:t>1</m:t>
                </m:r>
                <m:r>
                  <w:rPr>
                    <w:rFonts w:ascii="Cambria Math" w:hAnsi="Cambria Math" w:cs="Times New Roman"/>
                  </w:rPr>
                  <m:t>=30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7E2B29F"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30×4096=122880 </m:t>
                </m:r>
              </m:oMath>
            </m:oMathPara>
          </w:p>
        </w:tc>
        <w:tc>
          <w:tcPr>
            <w:tcW w:w="1276" w:type="dxa"/>
            <w:vMerge/>
            <w:tcBorders>
              <w:top w:val="single" w:sz="4" w:space="0" w:color="000000"/>
              <w:left w:val="nil"/>
              <w:bottom w:val="single" w:sz="8" w:space="0" w:color="7F7F7F"/>
              <w:right w:val="nil"/>
            </w:tcBorders>
            <w:vAlign w:val="center"/>
            <w:hideMark/>
          </w:tcPr>
          <w:p w14:paraId="5EEB5FB1" w14:textId="77777777" w:rsidR="0062569E" w:rsidRPr="00F15C81" w:rsidRDefault="0062569E" w:rsidP="006C668B">
            <w:pPr>
              <w:rPr>
                <w:rFonts w:ascii="Times New Roman" w:hAnsi="Times New Roman" w:cs="Times New Roman"/>
              </w:rPr>
            </w:pPr>
          </w:p>
        </w:tc>
      </w:tr>
      <w:tr w:rsidR="0062569E" w:rsidRPr="00F15C81" w14:paraId="64E3D6BB" w14:textId="77777777" w:rsidTr="006C668B">
        <w:trPr>
          <w:trHeight w:val="222"/>
        </w:trPr>
        <w:tc>
          <w:tcPr>
            <w:tcW w:w="1035" w:type="dxa"/>
            <w:vMerge w:val="restart"/>
            <w:tcBorders>
              <w:top w:val="single" w:sz="8" w:space="0" w:color="7F7F7F"/>
              <w:left w:val="nil"/>
              <w:bottom w:val="single" w:sz="8" w:space="0" w:color="7F7F7F"/>
              <w:right w:val="nil"/>
            </w:tcBorders>
            <w:tcMar>
              <w:top w:w="12" w:type="dxa"/>
              <w:left w:w="12" w:type="dxa"/>
              <w:bottom w:w="0" w:type="dxa"/>
              <w:right w:w="12" w:type="dxa"/>
            </w:tcMar>
            <w:vAlign w:val="center"/>
            <w:hideMark/>
          </w:tcPr>
          <w:p w14:paraId="7FE3B2FA"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rPr>
              <w:t>7</w:t>
            </w: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D561781"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1 1 1 1 1 1 3</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AD0A547"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7 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1616079"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7×16384=114688 </m:t>
                </m:r>
              </m:oMath>
            </m:oMathPara>
          </w:p>
        </w:tc>
        <w:tc>
          <w:tcPr>
            <w:tcW w:w="1276" w:type="dxa"/>
            <w:vMerge w:val="restart"/>
            <w:tcBorders>
              <w:top w:val="single" w:sz="8" w:space="0" w:color="7F7F7F"/>
              <w:left w:val="nil"/>
              <w:bottom w:val="single" w:sz="8" w:space="0" w:color="7F7F7F"/>
              <w:right w:val="nil"/>
            </w:tcBorders>
            <w:tcMar>
              <w:top w:w="12" w:type="dxa"/>
              <w:left w:w="12" w:type="dxa"/>
              <w:bottom w:w="0" w:type="dxa"/>
              <w:right w:w="12" w:type="dxa"/>
            </w:tcMar>
            <w:vAlign w:val="center"/>
            <w:hideMark/>
          </w:tcPr>
          <w:p w14:paraId="4FBEC6F7"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458752 </m:t>
                </m:r>
              </m:oMath>
            </m:oMathPara>
          </w:p>
        </w:tc>
      </w:tr>
      <w:tr w:rsidR="0062569E" w:rsidRPr="00F15C81" w14:paraId="59666097" w14:textId="77777777" w:rsidTr="006C668B">
        <w:trPr>
          <w:trHeight w:val="222"/>
        </w:trPr>
        <w:tc>
          <w:tcPr>
            <w:tcW w:w="1035" w:type="dxa"/>
            <w:vMerge/>
            <w:tcBorders>
              <w:top w:val="single" w:sz="8" w:space="0" w:color="7F7F7F"/>
              <w:left w:val="nil"/>
              <w:bottom w:val="single" w:sz="8" w:space="0" w:color="7F7F7F"/>
              <w:right w:val="nil"/>
            </w:tcBorders>
            <w:vAlign w:val="center"/>
            <w:hideMark/>
          </w:tcPr>
          <w:p w14:paraId="13B1BE72" w14:textId="77777777" w:rsidR="0062569E" w:rsidRPr="00F15C81" w:rsidRDefault="0062569E" w:rsidP="006C668B">
            <w:pPr>
              <w:jc w:val="center"/>
              <w:rPr>
                <w:rFonts w:ascii="Times New Roman" w:hAnsi="Times New Roman" w:cs="Times New Roman"/>
              </w:rPr>
            </w:pP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4E3CE38"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1 1 1 1 1 2 2</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26AF3AA"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vertAlign w:val="subscript"/>
                  </w:rPr>
                  <m:t>7</m:t>
                </m:r>
                <m:r>
                  <w:rPr>
                    <w:rFonts w:ascii="Cambria Math" w:hAnsi="Cambria Math" w:cs="Times New Roman"/>
                  </w:rPr>
                  <m:t>C</m:t>
                </m:r>
                <m:r>
                  <w:rPr>
                    <w:rFonts w:ascii="Cambria Math" w:hAnsi="Cambria Math" w:cs="Times New Roman"/>
                    <w:vertAlign w:val="subscript"/>
                  </w:rPr>
                  <m:t>2</m:t>
                </m:r>
                <m:r>
                  <w:rPr>
                    <w:rFonts w:ascii="Cambria Math" w:hAnsi="Cambria Math" w:cs="Times New Roman"/>
                  </w:rPr>
                  <m:t>=21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C1298DF"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21×16384=344064 </m:t>
                </m:r>
              </m:oMath>
            </m:oMathPara>
          </w:p>
        </w:tc>
        <w:tc>
          <w:tcPr>
            <w:tcW w:w="1276" w:type="dxa"/>
            <w:vMerge/>
            <w:tcBorders>
              <w:top w:val="single" w:sz="8" w:space="0" w:color="7F7F7F"/>
              <w:left w:val="nil"/>
              <w:bottom w:val="single" w:sz="8" w:space="0" w:color="7F7F7F"/>
              <w:right w:val="nil"/>
            </w:tcBorders>
            <w:vAlign w:val="center"/>
            <w:hideMark/>
          </w:tcPr>
          <w:p w14:paraId="207F943B" w14:textId="77777777" w:rsidR="0062569E" w:rsidRPr="00F15C81" w:rsidRDefault="0062569E" w:rsidP="006C668B">
            <w:pPr>
              <w:rPr>
                <w:rFonts w:ascii="Times New Roman" w:hAnsi="Times New Roman" w:cs="Times New Roman"/>
              </w:rPr>
            </w:pPr>
          </w:p>
        </w:tc>
      </w:tr>
      <w:tr w:rsidR="0062569E" w:rsidRPr="00F15C81" w14:paraId="291C4872" w14:textId="77777777" w:rsidTr="006C668B">
        <w:trPr>
          <w:trHeight w:val="443"/>
        </w:trPr>
        <w:tc>
          <w:tcPr>
            <w:tcW w:w="1035" w:type="dxa"/>
            <w:tcBorders>
              <w:top w:val="single" w:sz="8" w:space="0" w:color="7F7F7F"/>
              <w:left w:val="nil"/>
              <w:bottom w:val="single" w:sz="8" w:space="0" w:color="7F7F7F"/>
              <w:right w:val="nil"/>
            </w:tcBorders>
            <w:tcMar>
              <w:top w:w="12" w:type="dxa"/>
              <w:left w:w="12" w:type="dxa"/>
              <w:bottom w:w="0" w:type="dxa"/>
              <w:right w:w="12" w:type="dxa"/>
            </w:tcMar>
            <w:vAlign w:val="center"/>
            <w:hideMark/>
          </w:tcPr>
          <w:p w14:paraId="479473CC"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rPr>
              <w:t>8</w:t>
            </w:r>
            <w:r w:rsidRPr="00F15C81">
              <w:rPr>
                <w:rFonts w:ascii="Times New Roman" w:hAnsi="Times New Roman" w:cs="Times New Roman"/>
                <w:vertAlign w:val="superscript"/>
              </w:rPr>
              <w:t>*)</w:t>
            </w: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52B2504"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1 1 1 1 1 1 1 2</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337BE02"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8 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C810502"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8×65536=524288 </m:t>
                </m:r>
              </m:oMath>
            </m:oMathPara>
          </w:p>
        </w:tc>
        <w:tc>
          <w:tcPr>
            <w:tcW w:w="1276" w:type="dxa"/>
            <w:tcBorders>
              <w:top w:val="single" w:sz="8" w:space="0" w:color="7F7F7F"/>
              <w:left w:val="nil"/>
              <w:bottom w:val="single" w:sz="4" w:space="0" w:color="000000"/>
              <w:right w:val="nil"/>
            </w:tcBorders>
            <w:tcMar>
              <w:top w:w="12" w:type="dxa"/>
              <w:left w:w="12" w:type="dxa"/>
              <w:bottom w:w="0" w:type="dxa"/>
              <w:right w:w="12" w:type="dxa"/>
            </w:tcMar>
            <w:vAlign w:val="center"/>
            <w:hideMark/>
          </w:tcPr>
          <w:p w14:paraId="4CA9CCA2"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524288 </m:t>
                </m:r>
              </m:oMath>
            </m:oMathPara>
          </w:p>
        </w:tc>
      </w:tr>
      <w:tr w:rsidR="0062569E" w:rsidRPr="00F15C81" w14:paraId="660AACAB" w14:textId="77777777" w:rsidTr="006C668B">
        <w:trPr>
          <w:trHeight w:val="443"/>
        </w:trPr>
        <w:tc>
          <w:tcPr>
            <w:tcW w:w="1035" w:type="dxa"/>
            <w:tcBorders>
              <w:top w:val="single" w:sz="8" w:space="0" w:color="7F7F7F"/>
              <w:left w:val="nil"/>
              <w:bottom w:val="single" w:sz="4" w:space="0" w:color="000000"/>
              <w:right w:val="nil"/>
            </w:tcBorders>
            <w:tcMar>
              <w:top w:w="12" w:type="dxa"/>
              <w:left w:w="12" w:type="dxa"/>
              <w:bottom w:w="0" w:type="dxa"/>
              <w:right w:w="12" w:type="dxa"/>
            </w:tcMar>
            <w:vAlign w:val="center"/>
            <w:hideMark/>
          </w:tcPr>
          <w:p w14:paraId="3D1413A8"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rPr>
              <w:t>9</w:t>
            </w:r>
          </w:p>
        </w:tc>
        <w:tc>
          <w:tcPr>
            <w:tcW w:w="165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642F07E" w14:textId="77777777" w:rsidR="0062569E" w:rsidRPr="00F15C81" w:rsidRDefault="0062569E" w:rsidP="006C668B">
            <w:pPr>
              <w:rPr>
                <w:rFonts w:ascii="Times New Roman" w:hAnsi="Times New Roman" w:cs="Times New Roman"/>
              </w:rPr>
            </w:pPr>
            <w:r w:rsidRPr="00F15C81">
              <w:rPr>
                <w:rFonts w:ascii="Times New Roman" w:hAnsi="Times New Roman" w:cs="Times New Roman"/>
              </w:rPr>
              <w:t xml:space="preserve"> </w:t>
            </w:r>
            <m:oMath>
              <m:r>
                <w:rPr>
                  <w:rFonts w:ascii="Cambria Math" w:hAnsi="Cambria Math" w:cs="Times New Roman"/>
                </w:rPr>
                <m:t>1 1 1 1 1 1 1 1 1</m:t>
              </m:r>
            </m:oMath>
          </w:p>
        </w:tc>
        <w:tc>
          <w:tcPr>
            <w:tcW w:w="170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110F129"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1 </m:t>
                </m:r>
              </m:oMath>
            </m:oMathPara>
          </w:p>
        </w:tc>
        <w:tc>
          <w:tcPr>
            <w:tcW w:w="2693"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2006E23"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1×262144=262144 </m:t>
                </m:r>
              </m:oMath>
            </m:oMathPara>
          </w:p>
        </w:tc>
        <w:tc>
          <w:tcPr>
            <w:tcW w:w="1276"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58E100D"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262144 </m:t>
                </m:r>
              </m:oMath>
            </m:oMathPara>
          </w:p>
        </w:tc>
      </w:tr>
      <w:tr w:rsidR="0062569E" w:rsidRPr="00F15C81" w14:paraId="481B3954" w14:textId="77777777" w:rsidTr="006C668B">
        <w:trPr>
          <w:trHeight w:val="443"/>
        </w:trPr>
        <w:tc>
          <w:tcPr>
            <w:tcW w:w="1035"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428F1654" w14:textId="77777777" w:rsidR="0062569E" w:rsidRPr="00F15C81" w:rsidRDefault="0062569E" w:rsidP="006C668B">
            <w:pPr>
              <w:jc w:val="center"/>
              <w:rPr>
                <w:rFonts w:ascii="Times New Roman" w:hAnsi="Times New Roman" w:cs="Times New Roman"/>
              </w:rPr>
            </w:pPr>
            <w:r w:rsidRPr="00F15C81">
              <w:rPr>
                <w:rFonts w:ascii="Times New Roman" w:hAnsi="Times New Roman" w:cs="Times New Roman"/>
              </w:rPr>
              <w:t>sum</w:t>
            </w:r>
          </w:p>
        </w:tc>
        <w:tc>
          <w:tcPr>
            <w:tcW w:w="1659"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0658782D" w14:textId="77777777" w:rsidR="0062569E" w:rsidRPr="00F15C81" w:rsidRDefault="0062569E" w:rsidP="006C668B">
            <w:pPr>
              <w:rPr>
                <w:rFonts w:ascii="Times New Roman" w:hAnsi="Times New Roman" w:cs="Times New Roman"/>
              </w:rPr>
            </w:pPr>
          </w:p>
        </w:tc>
        <w:tc>
          <w:tcPr>
            <w:tcW w:w="1701"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0B06F9CB" w14:textId="77777777" w:rsidR="0062569E" w:rsidRPr="00F15C81" w:rsidRDefault="0062569E" w:rsidP="006C668B">
            <w:pPr>
              <w:rPr>
                <w:rFonts w:ascii="Times New Roman" w:hAnsi="Times New Roman" w:cs="Times New Roman"/>
              </w:rPr>
            </w:pPr>
          </w:p>
        </w:tc>
        <w:tc>
          <w:tcPr>
            <w:tcW w:w="2693"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25A99100" w14:textId="77777777" w:rsidR="0062569E" w:rsidRPr="00F15C81" w:rsidRDefault="0062569E" w:rsidP="006C668B">
            <w:pPr>
              <w:rPr>
                <w:rFonts w:ascii="Times New Roman" w:hAnsi="Times New Roman" w:cs="Times New Roman"/>
              </w:rPr>
            </w:pPr>
          </w:p>
        </w:tc>
        <w:tc>
          <w:tcPr>
            <w:tcW w:w="1276"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752C85F0" w14:textId="77777777" w:rsidR="0062569E" w:rsidRPr="00F15C81" w:rsidRDefault="0062569E" w:rsidP="006C668B">
            <w:pPr>
              <w:rPr>
                <w:rFonts w:ascii="Times New Roman" w:hAnsi="Times New Roman" w:cs="Times New Roman"/>
              </w:rPr>
            </w:pPr>
            <m:oMathPara>
              <m:oMathParaPr>
                <m:jc m:val="centerGroup"/>
              </m:oMathParaPr>
              <m:oMath>
                <m:r>
                  <w:rPr>
                    <w:rFonts w:ascii="Cambria Math" w:hAnsi="Cambria Math" w:cs="Times New Roman"/>
                  </w:rPr>
                  <m:t>1500224 </m:t>
                </m:r>
              </m:oMath>
            </m:oMathPara>
          </w:p>
        </w:tc>
      </w:tr>
      <w:tr w:rsidR="0062569E" w:rsidRPr="00F15C81" w14:paraId="790AD31B" w14:textId="77777777" w:rsidTr="006C668B">
        <w:trPr>
          <w:trHeight w:val="443"/>
        </w:trPr>
        <w:tc>
          <w:tcPr>
            <w:tcW w:w="8364" w:type="dxa"/>
            <w:gridSpan w:val="5"/>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57733025" w14:textId="77777777" w:rsidR="0062569E" w:rsidRPr="00F15C81" w:rsidRDefault="0062569E" w:rsidP="006C668B">
            <w:pPr>
              <w:rPr>
                <w:rFonts w:ascii="Times New Roman" w:hAnsi="Times New Roman" w:cs="Times New Roman"/>
              </w:rPr>
            </w:pPr>
            <w:r w:rsidRPr="00F15C81">
              <w:rPr>
                <w:rFonts w:ascii="Times New Roman" w:hAnsi="Times New Roman" w:cs="Times New Roman" w:hint="eastAsia"/>
              </w:rPr>
              <w:t>*) divide 8 groups for each layer thickness configuration</w:t>
            </w:r>
          </w:p>
        </w:tc>
      </w:tr>
    </w:tbl>
    <w:p w14:paraId="2F51A094" w14:textId="77777777" w:rsidR="0062569E" w:rsidRDefault="0062569E" w:rsidP="0062569E">
      <w:pPr>
        <w:rPr>
          <w:rFonts w:ascii="Times New Roman" w:hAnsi="Times New Roman" w:cs="Times New Roman"/>
        </w:rPr>
      </w:pPr>
    </w:p>
    <w:p w14:paraId="698A2BA6" w14:textId="77777777" w:rsidR="0062569E" w:rsidRDefault="0062569E" w:rsidP="0062569E">
      <w:pPr>
        <w:rPr>
          <w:rFonts w:ascii="Times New Roman" w:hAnsi="Times New Roman" w:cs="Times New Roman"/>
        </w:rPr>
      </w:pPr>
      <w:r>
        <w:rPr>
          <w:rFonts w:ascii="Times New Roman" w:hAnsi="Times New Roman" w:cs="Times New Roman"/>
        </w:rPr>
        <w:br w:type="page"/>
      </w:r>
    </w:p>
    <w:p w14:paraId="74B96FFE" w14:textId="77777777" w:rsidR="0062569E" w:rsidRPr="00F15C81" w:rsidRDefault="0062569E" w:rsidP="0062569E">
      <w:pPr>
        <w:rPr>
          <w:rFonts w:ascii="Times New Roman" w:hAnsi="Times New Roman" w:cs="Times New Roman"/>
        </w:rPr>
      </w:pPr>
    </w:p>
    <w:p w14:paraId="090A6AAC" w14:textId="77777777" w:rsidR="0062569E" w:rsidRPr="00B73AEF" w:rsidRDefault="0062569E" w:rsidP="0062569E">
      <w:pPr>
        <w:rPr>
          <w:rFonts w:ascii="Times New Roman" w:hAnsi="Times New Roman" w:cs="Times New Roman"/>
          <w:b/>
          <w:bCs/>
        </w:rPr>
      </w:pPr>
      <w:r w:rsidRPr="00B73AEF">
        <w:rPr>
          <w:rFonts w:ascii="Times New Roman" w:hAnsi="Times New Roman" w:cs="Times New Roman"/>
          <w:b/>
          <w:bCs/>
        </w:rPr>
        <w:t>Appendix 3</w:t>
      </w:r>
    </w:p>
    <w:p w14:paraId="6FAB04A6" w14:textId="77777777" w:rsidR="0062569E" w:rsidRPr="00DB3465" w:rsidRDefault="0062569E" w:rsidP="0062569E">
      <w:pPr>
        <w:rPr>
          <w:rFonts w:ascii="Times New Roman" w:hAnsi="Times New Roman" w:cs="Times New Roman"/>
        </w:rPr>
      </w:pPr>
    </w:p>
    <w:p w14:paraId="0EDE4F0A" w14:textId="77777777" w:rsidR="0062569E" w:rsidRPr="00DB3465" w:rsidRDefault="0062569E" w:rsidP="0062569E">
      <w:pPr>
        <w:rPr>
          <w:rFonts w:ascii="Times New Roman" w:hAnsi="Times New Roman" w:cs="Times New Roman"/>
        </w:rPr>
      </w:pPr>
      <w:r>
        <w:rPr>
          <w:rFonts w:ascii="Times New Roman" w:hAnsi="Times New Roman" w:cs="Times New Roman" w:hint="eastAsia"/>
        </w:rPr>
        <w:t>T</w:t>
      </w:r>
      <w:r w:rsidRPr="00DB3465">
        <w:rPr>
          <w:rFonts w:ascii="Times New Roman" w:hAnsi="Times New Roman" w:cs="Times New Roman"/>
        </w:rPr>
        <w:t xml:space="preserve">he criteria for excluding </w:t>
      </w:r>
      <w:r>
        <w:rPr>
          <w:rFonts w:ascii="Times New Roman" w:hAnsi="Times New Roman" w:cs="Times New Roman" w:hint="eastAsia"/>
        </w:rPr>
        <w:t>damaged</w:t>
      </w:r>
      <w:r w:rsidRPr="00DB3465">
        <w:rPr>
          <w:rFonts w:ascii="Times New Roman" w:hAnsi="Times New Roman" w:cs="Times New Roman"/>
        </w:rPr>
        <w:t xml:space="preserve"> elements due to singular stress fields, as well as the method for constructing a classifier to determine whether rupture life can be computed</w:t>
      </w:r>
      <w:r>
        <w:rPr>
          <w:rFonts w:ascii="Times New Roman" w:hAnsi="Times New Roman" w:cs="Times New Roman" w:hint="eastAsia"/>
        </w:rPr>
        <w:t xml:space="preserve"> is explained</w:t>
      </w:r>
      <w:r w:rsidRPr="00DB3465">
        <w:rPr>
          <w:rFonts w:ascii="Times New Roman" w:hAnsi="Times New Roman" w:cs="Times New Roman"/>
        </w:rPr>
        <w:t>.</w:t>
      </w:r>
      <w:r>
        <w:rPr>
          <w:rFonts w:ascii="Times New Roman" w:hAnsi="Times New Roman" w:cs="Times New Roman" w:hint="eastAsia"/>
        </w:rPr>
        <w:t xml:space="preserve"> </w:t>
      </w:r>
      <w:r w:rsidRPr="00DB3465">
        <w:rPr>
          <w:rFonts w:ascii="Times New Roman" w:hAnsi="Times New Roman" w:cs="Times New Roman"/>
        </w:rPr>
        <w:t xml:space="preserve">From the creep damage analysis results obtained in the forward workflow, time-series data of the damage distribution for all elements at each time step were extracted. At each time point, the set of </w:t>
      </w:r>
      <w:r>
        <w:rPr>
          <w:rFonts w:ascii="Times New Roman" w:hAnsi="Times New Roman" w:cs="Times New Roman" w:hint="eastAsia"/>
        </w:rPr>
        <w:t>damaged</w:t>
      </w:r>
      <w:r w:rsidRPr="00DB3465">
        <w:rPr>
          <w:rFonts w:ascii="Times New Roman" w:hAnsi="Times New Roman" w:cs="Times New Roman"/>
        </w:rPr>
        <w:t xml:space="preserve"> elements</w:t>
      </w:r>
      <w:r>
        <w:rPr>
          <w:rFonts w:ascii="Times New Roman" w:hAnsi="Times New Roman" w:cs="Times New Roman" w:hint="eastAsia"/>
        </w:rPr>
        <w:t xml:space="preserve"> (i.e. damage=1)</w:t>
      </w:r>
      <w:r w:rsidRPr="00DB3465">
        <w:rPr>
          <w:rFonts w:ascii="Times New Roman" w:hAnsi="Times New Roman" w:cs="Times New Roman"/>
        </w:rPr>
        <w:t xml:space="preserve"> within the HAZ was partitioned into connected components, defined as groups of elements that share edges or faces. These connected components were analyzed according to the following criteria to classify rupture types:</w:t>
      </w:r>
    </w:p>
    <w:p w14:paraId="018AFA7E" w14:textId="77777777" w:rsidR="0062569E" w:rsidRPr="00DB3465" w:rsidRDefault="0062569E" w:rsidP="0062569E">
      <w:pPr>
        <w:rPr>
          <w:rFonts w:ascii="Times New Roman" w:hAnsi="Times New Roman" w:cs="Times New Roman"/>
        </w:rPr>
      </w:pPr>
    </w:p>
    <w:p w14:paraId="4BB86EAB" w14:textId="77777777" w:rsidR="0062569E" w:rsidRPr="00307DB9" w:rsidRDefault="0062569E" w:rsidP="0062569E">
      <w:pPr>
        <w:pStyle w:val="ListParagraph"/>
        <w:numPr>
          <w:ilvl w:val="0"/>
          <w:numId w:val="1"/>
        </w:numPr>
        <w:rPr>
          <w:rFonts w:ascii="Times New Roman" w:hAnsi="Times New Roman" w:cs="Times New Roman"/>
        </w:rPr>
      </w:pPr>
      <w:r w:rsidRPr="00307DB9">
        <w:rPr>
          <w:rFonts w:ascii="Times New Roman" w:hAnsi="Times New Roman" w:cs="Times New Roman"/>
        </w:rPr>
        <w:t xml:space="preserve">If only connected components not including triple junctions were present: the time of appearance of </w:t>
      </w:r>
      <w:r>
        <w:rPr>
          <w:rFonts w:ascii="Times New Roman" w:hAnsi="Times New Roman" w:cs="Times New Roman" w:hint="eastAsia"/>
        </w:rPr>
        <w:t>the</w:t>
      </w:r>
      <w:r w:rsidRPr="00307DB9">
        <w:rPr>
          <w:rFonts w:ascii="Times New Roman" w:hAnsi="Times New Roman" w:cs="Times New Roman"/>
        </w:rPr>
        <w:t xml:space="preserve"> component was defined as the rupture life (rupture type: internal rupture).</w:t>
      </w:r>
    </w:p>
    <w:p w14:paraId="7D7A671E" w14:textId="77777777" w:rsidR="0062569E" w:rsidRPr="00DB3465" w:rsidRDefault="0062569E" w:rsidP="0062569E">
      <w:pPr>
        <w:rPr>
          <w:rFonts w:ascii="Times New Roman" w:hAnsi="Times New Roman" w:cs="Times New Roman"/>
        </w:rPr>
      </w:pPr>
    </w:p>
    <w:p w14:paraId="5BD2DCC3" w14:textId="77777777" w:rsidR="0062569E" w:rsidRPr="00307DB9" w:rsidRDefault="0062569E" w:rsidP="0062569E">
      <w:pPr>
        <w:pStyle w:val="ListParagraph"/>
        <w:numPr>
          <w:ilvl w:val="0"/>
          <w:numId w:val="1"/>
        </w:numPr>
        <w:rPr>
          <w:rFonts w:ascii="Times New Roman" w:hAnsi="Times New Roman" w:cs="Times New Roman"/>
        </w:rPr>
      </w:pPr>
      <w:r w:rsidRPr="00307DB9">
        <w:rPr>
          <w:rFonts w:ascii="Times New Roman" w:hAnsi="Times New Roman" w:cs="Times New Roman"/>
        </w:rPr>
        <w:t xml:space="preserve">If </w:t>
      </w:r>
      <w:r>
        <w:rPr>
          <w:rFonts w:ascii="Times New Roman" w:hAnsi="Times New Roman" w:cs="Times New Roman" w:hint="eastAsia"/>
        </w:rPr>
        <w:t>the</w:t>
      </w:r>
      <w:r w:rsidRPr="00307DB9">
        <w:rPr>
          <w:rFonts w:ascii="Times New Roman" w:hAnsi="Times New Roman" w:cs="Times New Roman"/>
        </w:rPr>
        <w:t xml:space="preserve"> connected component including a triple junction had a spatial extent not exceeding 0.1 mm from the triple junction, and there also existed a</w:t>
      </w:r>
      <w:r>
        <w:rPr>
          <w:rFonts w:ascii="Times New Roman" w:hAnsi="Times New Roman" w:cs="Times New Roman" w:hint="eastAsia"/>
        </w:rPr>
        <w:t>nother</w:t>
      </w:r>
      <w:r w:rsidRPr="00307DB9">
        <w:rPr>
          <w:rFonts w:ascii="Times New Roman" w:hAnsi="Times New Roman" w:cs="Times New Roman"/>
        </w:rPr>
        <w:t xml:space="preserve"> component that did not include a triple junction</w:t>
      </w:r>
      <w:r>
        <w:rPr>
          <w:rFonts w:ascii="Times New Roman" w:hAnsi="Times New Roman" w:cs="Times New Roman" w:hint="eastAsia"/>
        </w:rPr>
        <w:t xml:space="preserve"> (non-triple-junction component)</w:t>
      </w:r>
      <w:r w:rsidRPr="00307DB9">
        <w:rPr>
          <w:rFonts w:ascii="Times New Roman" w:hAnsi="Times New Roman" w:cs="Times New Roman"/>
        </w:rPr>
        <w:t>: the time at which such a non-triple-junction component appeared was defined as the rupture life (rupture type: modified internal rupture, see Fig. 4(a)).</w:t>
      </w:r>
    </w:p>
    <w:p w14:paraId="436C1036" w14:textId="77777777" w:rsidR="0062569E" w:rsidRPr="00DB3465" w:rsidRDefault="0062569E" w:rsidP="0062569E">
      <w:pPr>
        <w:rPr>
          <w:rFonts w:ascii="Times New Roman" w:hAnsi="Times New Roman" w:cs="Times New Roman"/>
        </w:rPr>
      </w:pPr>
    </w:p>
    <w:p w14:paraId="23B6CC9F" w14:textId="77777777" w:rsidR="0062569E" w:rsidRPr="00307DB9" w:rsidRDefault="0062569E" w:rsidP="0062569E">
      <w:pPr>
        <w:pStyle w:val="ListParagraph"/>
        <w:numPr>
          <w:ilvl w:val="0"/>
          <w:numId w:val="1"/>
        </w:numPr>
        <w:rPr>
          <w:rFonts w:ascii="Times New Roman" w:hAnsi="Times New Roman" w:cs="Times New Roman"/>
        </w:rPr>
      </w:pPr>
      <w:r w:rsidRPr="00307DB9">
        <w:rPr>
          <w:rFonts w:ascii="Times New Roman" w:hAnsi="Times New Roman" w:cs="Times New Roman"/>
        </w:rPr>
        <w:t>If no non-triple-junction components were present and a component including a triple junction exceeded 0.1 mm in size from the junction: it was judged that damage due to singular stress and other causes could not be separated, and rupture life was not determined (rupture type: boundary rupture, see Fig. 4(b)).</w:t>
      </w:r>
    </w:p>
    <w:p w14:paraId="36D4C3E8" w14:textId="77777777" w:rsidR="0062569E" w:rsidRPr="00DB3465" w:rsidRDefault="0062569E" w:rsidP="0062569E">
      <w:pPr>
        <w:rPr>
          <w:rFonts w:ascii="Times New Roman" w:hAnsi="Times New Roman" w:cs="Times New Roman"/>
        </w:rPr>
      </w:pPr>
    </w:p>
    <w:p w14:paraId="1B6C7473" w14:textId="77777777" w:rsidR="0062569E" w:rsidRPr="00DB3465" w:rsidRDefault="0062569E" w:rsidP="0062569E">
      <w:pPr>
        <w:rPr>
          <w:rFonts w:ascii="Times New Roman" w:hAnsi="Times New Roman" w:cs="Times New Roman"/>
        </w:rPr>
      </w:pPr>
      <w:r w:rsidRPr="00DB3465">
        <w:rPr>
          <w:rFonts w:ascii="Times New Roman" w:hAnsi="Times New Roman" w:cs="Times New Roman"/>
        </w:rPr>
        <w:t>Based on these rules, rupture type classification and rupture life estimation were applied to the time-series damage distribution data from the creep damage analysis, and both rupture life and rupture type were recorded. If rupture life could not be determined, the data were excluded from the training dataset. However, rupture type was recorded to prevent redundant recalculation when the same condition was selected again as a candidate.</w:t>
      </w:r>
    </w:p>
    <w:p w14:paraId="2ABC1919" w14:textId="77777777" w:rsidR="0062569E" w:rsidRPr="00DB3465" w:rsidRDefault="0062569E" w:rsidP="0062569E">
      <w:pPr>
        <w:rPr>
          <w:rFonts w:ascii="Times New Roman" w:hAnsi="Times New Roman" w:cs="Times New Roman"/>
        </w:rPr>
      </w:pPr>
    </w:p>
    <w:p w14:paraId="0D1BAC33" w14:textId="77777777" w:rsidR="0062569E" w:rsidRPr="00DB3465" w:rsidRDefault="0062569E" w:rsidP="0062569E">
      <w:pPr>
        <w:rPr>
          <w:rFonts w:ascii="Times New Roman" w:hAnsi="Times New Roman" w:cs="Times New Roman"/>
        </w:rPr>
      </w:pPr>
      <w:r w:rsidRPr="00DB3465">
        <w:rPr>
          <w:rFonts w:ascii="Times New Roman" w:hAnsi="Times New Roman" w:cs="Times New Roman"/>
        </w:rPr>
        <w:t>For screening purposes, a RandomForestClassifier [28] was constructed using the HAZ geometry factors as explanatory variables. The classification target was set such that “internal rupture” or “modified internal rupture” was labeled as 1, and “boundary rupture” as 0. Hyperparameter optimization was performed using GridSearchCV [29] as implemented in scikit-learn. The search space for the hyperparameters of the RandomForestClassifier is shown in Table 5. The timing of classifier training was synchronized with each update of the Bayesian linear regression training dataset.</w:t>
      </w:r>
    </w:p>
    <w:p w14:paraId="79A9EB61" w14:textId="77777777" w:rsidR="0062569E" w:rsidRPr="00A87874" w:rsidRDefault="0062569E" w:rsidP="0062569E">
      <w:pPr>
        <w:rPr>
          <w:rFonts w:ascii="Times New Roman" w:eastAsia="Yu Mincho" w:hAnsi="Times New Roman" w:cs="Times New Roman"/>
          <w:sz w:val="18"/>
          <w:szCs w:val="18"/>
        </w:rPr>
      </w:pPr>
    </w:p>
    <w:p w14:paraId="06B7D3B0" w14:textId="77777777" w:rsidR="0062569E" w:rsidRDefault="0062569E" w:rsidP="0062569E">
      <w:pPr>
        <w:rPr>
          <w:rFonts w:ascii="Times New Roman" w:hAnsi="Times New Roman" w:cs="Times New Roman"/>
          <w:sz w:val="20"/>
          <w:szCs w:val="21"/>
        </w:rPr>
      </w:pPr>
      <w:r w:rsidRPr="00A27B0A">
        <w:rPr>
          <w:rFonts w:ascii="Times New Roman" w:hAnsi="Times New Roman" w:cs="Times New Roman"/>
          <w:sz w:val="20"/>
          <w:szCs w:val="21"/>
        </w:rPr>
        <w:br w:type="page"/>
      </w:r>
    </w:p>
    <w:p w14:paraId="55235DD3"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44157"/>
    <w:multiLevelType w:val="hybridMultilevel"/>
    <w:tmpl w:val="C75CCD8A"/>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779325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69E"/>
    <w:rsid w:val="002E281E"/>
    <w:rsid w:val="003201BB"/>
    <w:rsid w:val="0062569E"/>
    <w:rsid w:val="00754C68"/>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F43BB"/>
  <w15:chartTrackingRefBased/>
  <w15:docId w15:val="{B95F019D-E9A1-4402-88F8-38D5781BD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69E"/>
    <w:pPr>
      <w:spacing w:after="0" w:line="240" w:lineRule="auto"/>
    </w:pPr>
    <w:rPr>
      <w:rFonts w:eastAsiaTheme="minorEastAsia"/>
      <w:sz w:val="22"/>
      <w:lang w:eastAsia="ja-JP"/>
    </w:rPr>
  </w:style>
  <w:style w:type="paragraph" w:styleId="Heading1">
    <w:name w:val="heading 1"/>
    <w:basedOn w:val="Normal"/>
    <w:next w:val="Normal"/>
    <w:link w:val="Heading1Char"/>
    <w:uiPriority w:val="9"/>
    <w:qFormat/>
    <w:rsid w:val="006256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56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56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56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56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569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569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569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569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56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56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56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56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56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56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56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56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569E"/>
    <w:rPr>
      <w:rFonts w:eastAsiaTheme="majorEastAsia" w:cstheme="majorBidi"/>
      <w:color w:val="272727" w:themeColor="text1" w:themeTint="D8"/>
    </w:rPr>
  </w:style>
  <w:style w:type="paragraph" w:styleId="Title">
    <w:name w:val="Title"/>
    <w:basedOn w:val="Normal"/>
    <w:next w:val="Normal"/>
    <w:link w:val="TitleChar"/>
    <w:uiPriority w:val="10"/>
    <w:qFormat/>
    <w:rsid w:val="0062569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56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56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56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569E"/>
    <w:pPr>
      <w:spacing w:before="160"/>
      <w:jc w:val="center"/>
    </w:pPr>
    <w:rPr>
      <w:i/>
      <w:iCs/>
      <w:color w:val="404040" w:themeColor="text1" w:themeTint="BF"/>
    </w:rPr>
  </w:style>
  <w:style w:type="character" w:customStyle="1" w:styleId="QuoteChar">
    <w:name w:val="Quote Char"/>
    <w:basedOn w:val="DefaultParagraphFont"/>
    <w:link w:val="Quote"/>
    <w:uiPriority w:val="29"/>
    <w:rsid w:val="0062569E"/>
    <w:rPr>
      <w:i/>
      <w:iCs/>
      <w:color w:val="404040" w:themeColor="text1" w:themeTint="BF"/>
    </w:rPr>
  </w:style>
  <w:style w:type="paragraph" w:styleId="ListParagraph">
    <w:name w:val="List Paragraph"/>
    <w:basedOn w:val="Normal"/>
    <w:uiPriority w:val="34"/>
    <w:qFormat/>
    <w:rsid w:val="0062569E"/>
    <w:pPr>
      <w:ind w:left="720"/>
      <w:contextualSpacing/>
    </w:pPr>
  </w:style>
  <w:style w:type="character" w:styleId="IntenseEmphasis">
    <w:name w:val="Intense Emphasis"/>
    <w:basedOn w:val="DefaultParagraphFont"/>
    <w:uiPriority w:val="21"/>
    <w:qFormat/>
    <w:rsid w:val="0062569E"/>
    <w:rPr>
      <w:i/>
      <w:iCs/>
      <w:color w:val="0F4761" w:themeColor="accent1" w:themeShade="BF"/>
    </w:rPr>
  </w:style>
  <w:style w:type="paragraph" w:styleId="IntenseQuote">
    <w:name w:val="Intense Quote"/>
    <w:basedOn w:val="Normal"/>
    <w:next w:val="Normal"/>
    <w:link w:val="IntenseQuoteChar"/>
    <w:uiPriority w:val="30"/>
    <w:qFormat/>
    <w:rsid w:val="006256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569E"/>
    <w:rPr>
      <w:i/>
      <w:iCs/>
      <w:color w:val="0F4761" w:themeColor="accent1" w:themeShade="BF"/>
    </w:rPr>
  </w:style>
  <w:style w:type="character" w:styleId="IntenseReference">
    <w:name w:val="Intense Reference"/>
    <w:basedOn w:val="DefaultParagraphFont"/>
    <w:uiPriority w:val="32"/>
    <w:qFormat/>
    <w:rsid w:val="006256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808</Words>
  <Characters>4610</Characters>
  <Application>Microsoft Office Word</Application>
  <DocSecurity>0</DocSecurity>
  <Lines>38</Lines>
  <Paragraphs>10</Paragraphs>
  <ScaleCrop>false</ScaleCrop>
  <Company>Springer Nature</Company>
  <LinksUpToDate>false</LinksUpToDate>
  <CharactersWithSpaces>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2025-08-07T15:35:00Z</dcterms:created>
  <dcterms:modified xsi:type="dcterms:W3CDTF">2025-08-07T15:35:00Z</dcterms:modified>
</cp:coreProperties>
</file>