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7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701"/>
        <w:gridCol w:w="1560"/>
        <w:gridCol w:w="1407"/>
        <w:gridCol w:w="965"/>
        <w:gridCol w:w="2052"/>
        <w:gridCol w:w="6349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5735" w:type="dxa"/>
            <w:gridSpan w:val="7"/>
            <w:tcBorders>
              <w:top w:val="nil"/>
              <w:left w:val="nil"/>
              <w:bottom w:val="thinThickSmallGap" w:color="auto" w:sz="12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rFonts w:ascii="Arial" w:hAnsi="Arial" w:cs="Arial"/>
                <w:b/>
                <w:bCs/>
                <w:sz w:val="18"/>
              </w:rPr>
            </w:pPr>
            <w:r>
              <w:rPr>
                <w:rFonts w:hint="eastAsia" w:ascii="Arial" w:hAnsi="Arial" w:cs="Arial"/>
                <w:b/>
                <w:bCs/>
                <w:sz w:val="18"/>
              </w:rPr>
              <w:t>T</w:t>
            </w:r>
            <w:r>
              <w:rPr>
                <w:rFonts w:ascii="Arial" w:hAnsi="Arial" w:cs="Arial"/>
                <w:b/>
                <w:bCs/>
                <w:sz w:val="18"/>
              </w:rPr>
              <w:t>able S</w:t>
            </w:r>
            <w:r>
              <w:rPr>
                <w:rFonts w:hint="eastAsia" w:ascii="Arial" w:hAnsi="Arial" w:cs="Arial"/>
                <w:b/>
                <w:bCs/>
                <w:sz w:val="18"/>
                <w:lang w:val="en-US" w:eastAsia="zh-CN"/>
              </w:rPr>
              <w:t>4</w:t>
            </w:r>
            <w:r>
              <w:rPr>
                <w:rFonts w:ascii="Arial" w:hAnsi="Arial" w:cs="Arial"/>
                <w:b/>
                <w:bCs/>
                <w:sz w:val="18"/>
              </w:rPr>
              <w:t xml:space="preserve"> The</w:t>
            </w:r>
            <w:r>
              <w:t xml:space="preserve"> </w:t>
            </w:r>
            <w:r>
              <w:rPr>
                <w:rFonts w:ascii="Arial" w:hAnsi="Arial" w:cs="Arial"/>
                <w:b/>
                <w:bCs/>
                <w:sz w:val="18"/>
              </w:rPr>
              <w:t>functional annotation of high-expressed CSF exosomal miRNAs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tcBorders>
              <w:top w:val="thinThickThinSmallGap" w:color="auto" w:sz="24" w:space="0"/>
              <w:left w:val="nil"/>
              <w:bottom w:val="thinThickSmallGap" w:color="auto" w:sz="12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rFonts w:ascii="Arial" w:hAnsi="Arial" w:cs="Arial"/>
                <w:b/>
                <w:bCs/>
                <w:sz w:val="18"/>
              </w:rPr>
            </w:pPr>
            <w:r>
              <w:rPr>
                <w:rFonts w:ascii="Arial" w:hAnsi="Arial" w:cs="Arial"/>
                <w:b/>
                <w:bCs/>
                <w:sz w:val="18"/>
              </w:rPr>
              <w:t>Up/down</w:t>
            </w:r>
          </w:p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b/>
                <w:bCs/>
                <w:sz w:val="18"/>
              </w:rPr>
              <w:t>in CSF</w:t>
            </w:r>
          </w:p>
        </w:tc>
        <w:tc>
          <w:tcPr>
            <w:tcW w:w="1560" w:type="dxa"/>
            <w:tcBorders>
              <w:top w:val="thinThickThinSmallGap" w:color="auto" w:sz="24" w:space="0"/>
              <w:left w:val="nil"/>
              <w:bottom w:val="thinThickSmallGap" w:color="auto" w:sz="12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18"/>
                <w:szCs w:val="21"/>
                <w:shd w:val="clear" w:color="auto" w:fill="F7F8FA"/>
              </w:rPr>
              <w:t>miRNA types</w:t>
            </w:r>
          </w:p>
        </w:tc>
        <w:tc>
          <w:tcPr>
            <w:tcW w:w="0" w:type="auto"/>
            <w:tcBorders>
              <w:top w:val="thinThickThinSmallGap" w:color="auto" w:sz="24" w:space="0"/>
              <w:left w:val="nil"/>
              <w:bottom w:val="thinThickSmallGap" w:color="auto" w:sz="12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b/>
                <w:bCs/>
                <w:sz w:val="18"/>
              </w:rPr>
              <w:t>miRNAs</w:t>
            </w:r>
          </w:p>
        </w:tc>
        <w:tc>
          <w:tcPr>
            <w:tcW w:w="0" w:type="auto"/>
            <w:tcBorders>
              <w:top w:val="thinThickThinSmallGap" w:color="auto" w:sz="24" w:space="0"/>
              <w:left w:val="nil"/>
              <w:bottom w:val="thinThickSmallGap" w:color="auto" w:sz="12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</w:rPr>
              <w:t>P</w:t>
            </w:r>
            <w:r>
              <w:rPr>
                <w:rFonts w:ascii="Arial" w:hAnsi="Arial" w:cs="Arial"/>
                <w:b/>
                <w:bCs/>
                <w:sz w:val="18"/>
              </w:rPr>
              <w:t xml:space="preserve"> adj-CSF</w:t>
            </w:r>
          </w:p>
        </w:tc>
        <w:tc>
          <w:tcPr>
            <w:tcW w:w="0" w:type="auto"/>
            <w:tcBorders>
              <w:top w:val="thinThickThinSmallGap" w:color="auto" w:sz="24" w:space="0"/>
              <w:left w:val="nil"/>
              <w:bottom w:val="thinThickSmallGap" w:color="auto" w:sz="12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rFonts w:ascii="Arial" w:hAnsi="Arial" w:cs="Arial"/>
                <w:b/>
                <w:bCs/>
                <w:color w:val="333333"/>
                <w:sz w:val="18"/>
                <w:szCs w:val="21"/>
                <w:shd w:val="clear" w:color="auto" w:fill="F7F8FA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18"/>
                <w:szCs w:val="21"/>
                <w:shd w:val="clear" w:color="auto" w:fill="F7F8FA"/>
              </w:rPr>
              <w:t>Downstream</w:t>
            </w:r>
          </w:p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18"/>
                <w:szCs w:val="21"/>
                <w:shd w:val="clear" w:color="auto" w:fill="F7F8FA"/>
              </w:rPr>
              <w:t>target gene</w:t>
            </w:r>
          </w:p>
        </w:tc>
        <w:tc>
          <w:tcPr>
            <w:tcW w:w="6349" w:type="dxa"/>
            <w:tcBorders>
              <w:top w:val="thinThickThinSmallGap" w:color="auto" w:sz="24" w:space="0"/>
              <w:left w:val="nil"/>
              <w:bottom w:val="thinThickSmallGap" w:color="auto" w:sz="12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b/>
                <w:bCs/>
                <w:sz w:val="18"/>
              </w:rPr>
              <w:t>Phenotype</w:t>
            </w:r>
          </w:p>
        </w:tc>
        <w:tc>
          <w:tcPr>
            <w:tcW w:w="1701" w:type="dxa"/>
            <w:tcBorders>
              <w:top w:val="thinThickThinSmallGap" w:color="auto" w:sz="24" w:space="0"/>
              <w:left w:val="nil"/>
              <w:bottom w:val="thinThickSmallGap" w:color="auto" w:sz="12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b/>
                <w:bCs/>
                <w:sz w:val="18"/>
              </w:rPr>
              <w:t>PMID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restart"/>
            <w:tcBorders>
              <w:top w:val="thinThickSmallGap" w:color="auto" w:sz="12" w:space="0"/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Up-regulated in CSF exosome</w:t>
            </w:r>
          </w:p>
        </w:tc>
        <w:tc>
          <w:tcPr>
            <w:tcW w:w="1560" w:type="dxa"/>
            <w:vMerge w:val="restart"/>
            <w:tcBorders>
              <w:top w:val="thinThickSmallGap" w:color="auto" w:sz="12" w:space="0"/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pBdr>
                <w:right w:val="dotted" w:color="auto" w:sz="8" w:space="4"/>
              </w:pBdr>
              <w:adjustRightInd w:val="0"/>
              <w:snapToGrid w:val="0"/>
              <w:spacing w:line="204" w:lineRule="auto"/>
              <w:jc w:val="center"/>
              <w:rPr>
                <w:rFonts w:ascii="Arial" w:hAnsi="Arial" w:cs="Arial"/>
                <w:b/>
                <w:bCs/>
                <w:sz w:val="15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20"/>
              </w:rPr>
              <w:t>TS-miR in glioma</w:t>
            </w:r>
          </w:p>
        </w:tc>
        <w:tc>
          <w:tcPr>
            <w:tcW w:w="0" w:type="auto"/>
            <w:tcBorders>
              <w:top w:val="thinThickSmallGap" w:color="auto" w:sz="12" w:space="0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hsa-let-7b-5p</w:t>
            </w:r>
          </w:p>
        </w:tc>
        <w:tc>
          <w:tcPr>
            <w:tcW w:w="0" w:type="auto"/>
            <w:tcBorders>
              <w:top w:val="thinThickSmallGap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1.09E-06</w:t>
            </w:r>
          </w:p>
        </w:tc>
        <w:tc>
          <w:tcPr>
            <w:tcW w:w="0" w:type="auto"/>
            <w:tcBorders>
              <w:top w:val="thinThickSmallGap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PLK1, CCNA2, cyclin B2</w:t>
            </w:r>
          </w:p>
        </w:tc>
        <w:tc>
          <w:tcPr>
            <w:tcW w:w="6349" w:type="dxa"/>
            <w:tcBorders>
              <w:top w:val="thinThickSmallGap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migration, invasion</w:t>
            </w:r>
          </w:p>
        </w:tc>
        <w:tc>
          <w:tcPr>
            <w:tcW w:w="1701" w:type="dxa"/>
            <w:tcBorders>
              <w:top w:val="thinThickSmallGap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30995921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hsa-let-7c-5p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2.71E-19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E2F5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Proliferation, Invasion, and Migration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29362021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hsa-miR-100-5p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8.28E-13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SMRT NCOR2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24244722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hsa-miR-105-5p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4.85E-15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SUZ12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proliferation, tumorigenesis, migration, invasion, and drug sensitivity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28618952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hsa-miR-124-3p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6.37E-05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Fra-2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aggressiveness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30243808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hsa-miR-125a-5p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7.46E-34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TAZ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25542152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hsa-miR-125b-5p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3.84E-25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 migration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30131528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hsa-miR-128-3p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8.67E-21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NPTX1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30906495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hsa-miR-129-5p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6.34E-05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Wnt5a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 migration and angiogenesis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29531296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hsa-miR-1298-5p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4.86E-05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SETD 7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cell proliferation and apoptosis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28762861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hsa-miR-139-5p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5.69E-08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ELTD1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suppressed cell proliferation and inducing apoptosis，regulating cell cycle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26449464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hsa-miR-145-3p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1.82E-08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WISP1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inhibited cell proliferation, invasion, migration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31800303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hsa-miR-151a-3p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0.000191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XRCC4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TMZ resistance to chemoresponsive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30992025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hsa-miR-193a-5p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1.01E-05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NOVA1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proliferation, migraton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30304561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hsa-miR-195-3p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6.61E-21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Caspase-3, -8, -9 and Bcl-2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cycle arrest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30806889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hsa-miR-200c-3p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0.0002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HMGB3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 metastatic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30232806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b/>
                <w:bCs/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hsa-miR-204-3p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7.23E-12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IGFBP2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apoptosis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27487563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hsa-miR-204-5p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5.86E-34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RAB22A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Invasive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26134825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hsa-miR-224-5p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4.82E-10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mTOR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migration Invasive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31179240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hsa-miR-370-3p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2.05E-05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β-catenin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27138069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hsa-miR-382-5p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3.79E-07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YBX1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proliferation, Invasive migration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31417288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hsa-miR-409-3p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1.19E-21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HMGN5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proliferation, Invasive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28109076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hsa-miR-433-3p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1.36E-06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CREB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proliferation, Resistance to chemotherapy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27926502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hsa-miR-483-5p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4.06E-11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ERK1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22465663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hsa-miR-504-5p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6.84E-22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FZD7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EMT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31419987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5.19E-20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proliferation, Invasive migration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28627653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hsa-miR-708-3p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0.000912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ZEB1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proliferation, Invasive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26556542、29575368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hsa-miR-99a-5p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2.28E-27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FGFR3 and PI3K/Akt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proliferation, Invasive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23409016、23298836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bottom w:val="single" w:color="auto" w:sz="12" w:space="0"/>
              <w:right w:val="dotted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4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hsa-miR-99b-5p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5.63E-37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634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proliferation, Invasive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27382299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12" w:space="0"/>
              <w:left w:val="thinThick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b/>
                <w:bCs/>
                <w:sz w:val="16"/>
                <w:szCs w:val="20"/>
              </w:rPr>
              <w:t>TS-miR in other tumours</w:t>
            </w:r>
          </w:p>
        </w:tc>
        <w:tc>
          <w:tcPr>
            <w:tcW w:w="0" w:type="auto"/>
            <w:tcBorders>
              <w:top w:val="single" w:color="auto" w:sz="12" w:space="0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hsa-let-7e-5p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6.90E-14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Chemokine Receptor 7</w:t>
            </w:r>
          </w:p>
        </w:tc>
        <w:tc>
          <w:tcPr>
            <w:tcW w:w="6349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 and Metastasis</w:t>
            </w:r>
          </w:p>
        </w:tc>
        <w:tc>
          <w:tcPr>
            <w:tcW w:w="1701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31205553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hsa-miR-125b-1-3p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1.68E-07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S1PR1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invasion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30082521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hsa-miR-1298-3p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1.81E-05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BRD9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 invasion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30660651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hsa-miR-30a-3p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4.17E-15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DNMT3A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 cycle arrest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31695416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hsa-miR-30c-2-3p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0.001413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RAB31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 apoptosis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30534536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hsa-miR-30c-5p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1.28E-25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SOX9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 Invasive migration apoptosis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31541993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hsa-miR-323a-3p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7.83E-08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MET/SMAD3/SNAIL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EMT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28837140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hsa-miR-328-3p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2.04E-12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HDGF HIF1AN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early development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31148183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b/>
                <w:bCs/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hsa-miR-335-3p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3.90E-19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ABCA3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Resistance to chemotherapy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30639603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hsa-miR-340-3p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7.87E-08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CIKIL-2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25826780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hsa-miR-34b-3p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3.05E-11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CDK4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31199581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hsa-miR-375-3p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7.79E-07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YAP1、SP1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31543507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hsa-miR-455-5p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0.000357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IGF-1R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proliferation, Invasive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31732382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hsa-miR-654-3p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1.14E-07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28030816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SmallGap" w:color="auto" w:sz="12" w:space="0"/>
              <w:bottom w:val="single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hsa-miR-99b-3p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2.32E-09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glycogen synthase kinase-3β</w:t>
            </w:r>
          </w:p>
        </w:tc>
        <w:tc>
          <w:tcPr>
            <w:tcW w:w="634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26315788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12" w:space="0"/>
              <w:left w:val="thinThickSmallGap" w:color="auto" w:sz="12" w:space="0"/>
              <w:bottom w:val="single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T</w:t>
            </w:r>
            <w:r>
              <w:rPr>
                <w:b/>
                <w:bCs/>
                <w:sz w:val="18"/>
              </w:rPr>
              <w:t>P</w:t>
            </w:r>
            <w:r>
              <w:rPr>
                <w:rFonts w:hint="eastAsia"/>
                <w:b/>
                <w:bCs/>
                <w:sz w:val="18"/>
              </w:rPr>
              <w:t>-mi</w:t>
            </w:r>
            <w:r>
              <w:rPr>
                <w:b/>
                <w:bCs/>
                <w:sz w:val="18"/>
              </w:rPr>
              <w:t>R</w:t>
            </w:r>
          </w:p>
        </w:tc>
        <w:tc>
          <w:tcPr>
            <w:tcW w:w="0" w:type="auto"/>
            <w:tcBorders>
              <w:top w:val="single" w:color="auto" w:sz="12" w:space="0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hsa-miR-10a-5p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9.87E-33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PTEN</w:t>
            </w:r>
          </w:p>
        </w:tc>
        <w:tc>
          <w:tcPr>
            <w:tcW w:w="6349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progression</w:t>
            </w:r>
          </w:p>
        </w:tc>
        <w:tc>
          <w:tcPr>
            <w:tcW w:w="1701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30927504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12" w:space="0"/>
              <w:left w:val="thinThickSmallGap" w:color="auto" w:sz="12" w:space="0"/>
              <w:bottom w:val="single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hsa-miR-10b-5p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1.70E-19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Apaf-1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29514931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12" w:space="0"/>
              <w:left w:val="thinThickSmallGap" w:color="auto" w:sz="12" w:space="0"/>
              <w:bottom w:val="single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hsa-miR-127-3p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0.00021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7-Sep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migration and invasion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24604520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12" w:space="0"/>
              <w:left w:val="thinThickSmallGap" w:color="auto" w:sz="12" w:space="0"/>
              <w:bottom w:val="single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hsa-miR-149-5p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2.15E-10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caspase-2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cell viability, inhibition of apoptosis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27049919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12" w:space="0"/>
              <w:left w:val="thinThickSmallGap" w:color="auto" w:sz="12" w:space="0"/>
              <w:bottom w:val="single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hsa-miR-196a-5p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9.34E-09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FOXO1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 Invasive migration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28666797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12" w:space="0"/>
              <w:left w:val="thinThickSmallGap" w:color="auto" w:sz="12" w:space="0"/>
              <w:bottom w:val="single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hsa-miR-222-3p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3.58E-17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p27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 Invasive migration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31105847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12" w:space="0"/>
              <w:left w:val="thinThickSmallGap" w:color="auto" w:sz="12" w:space="0"/>
              <w:bottom w:val="single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hsa-miR-92b-3p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1.28E-25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Homeobox D10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proliferation, Invasive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31106881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12" w:space="0"/>
              <w:left w:val="thinThickSmallGap" w:color="auto" w:sz="12" w:space="0"/>
              <w:bottom w:val="single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hsa-miR-92b-5p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4.85E-15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NLK</w:t>
            </w:r>
          </w:p>
        </w:tc>
        <w:tc>
          <w:tcPr>
            <w:tcW w:w="634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proliferation, Invasive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23416699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12" w:space="0"/>
              <w:left w:val="thinThickSmallGap" w:color="auto" w:sz="12" w:space="0"/>
              <w:bottom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b/>
                <w:bCs/>
                <w:sz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20"/>
              </w:rPr>
              <w:t>N</w:t>
            </w:r>
            <w:r>
              <w:rPr>
                <w:rFonts w:hint="eastAsia" w:ascii="Arial" w:hAnsi="Arial" w:cs="Arial"/>
                <w:b/>
                <w:bCs/>
                <w:color w:val="000000"/>
                <w:sz w:val="16"/>
                <w:szCs w:val="20"/>
              </w:rPr>
              <w:t>ot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20"/>
              </w:rPr>
              <w:t xml:space="preserve"> </w:t>
            </w:r>
            <w:r>
              <w:rPr>
                <w:rFonts w:hint="eastAsia" w:ascii="Arial" w:hAnsi="Arial" w:cs="Arial"/>
                <w:b/>
                <w:bCs/>
                <w:color w:val="000000"/>
                <w:sz w:val="16"/>
                <w:szCs w:val="20"/>
              </w:rPr>
              <w:t>known</w:t>
            </w:r>
          </w:p>
        </w:tc>
        <w:tc>
          <w:tcPr>
            <w:tcW w:w="0" w:type="auto"/>
            <w:tcBorders>
              <w:top w:val="single" w:color="auto" w:sz="12" w:space="0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hsa-let-7d-3p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3.40E-07</w:t>
            </w:r>
          </w:p>
        </w:tc>
        <w:tc>
          <w:tcPr>
            <w:tcW w:w="0" w:type="auto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N</w:t>
            </w:r>
            <w:r>
              <w:rPr>
                <w:rFonts w:hint="eastAsia" w:ascii="Arial" w:hAnsi="Arial" w:cs="Arial"/>
                <w:color w:val="000000"/>
                <w:sz w:val="15"/>
                <w:szCs w:val="18"/>
              </w:rPr>
              <w:t>ot</w:t>
            </w:r>
            <w:r>
              <w:rPr>
                <w:rFonts w:ascii="Arial" w:hAnsi="Arial" w:cs="Arial"/>
                <w:color w:val="000000"/>
                <w:sz w:val="15"/>
                <w:szCs w:val="18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sz w:val="15"/>
                <w:szCs w:val="18"/>
              </w:rPr>
              <w:t>known</w:t>
            </w:r>
          </w:p>
        </w:tc>
        <w:tc>
          <w:tcPr>
            <w:tcW w:w="6349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N</w:t>
            </w:r>
            <w:r>
              <w:rPr>
                <w:rFonts w:hint="eastAsia" w:ascii="Arial" w:hAnsi="Arial" w:cs="Arial"/>
                <w:color w:val="000000"/>
                <w:sz w:val="15"/>
                <w:szCs w:val="18"/>
              </w:rPr>
              <w:t>ot</w:t>
            </w:r>
            <w:r>
              <w:rPr>
                <w:rFonts w:ascii="Arial" w:hAnsi="Arial" w:cs="Arial"/>
                <w:color w:val="000000"/>
                <w:sz w:val="15"/>
                <w:szCs w:val="18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sz w:val="15"/>
                <w:szCs w:val="18"/>
              </w:rPr>
              <w:t>known</w:t>
            </w:r>
          </w:p>
        </w:tc>
        <w:tc>
          <w:tcPr>
            <w:tcW w:w="1701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N</w:t>
            </w:r>
            <w:r>
              <w:rPr>
                <w:rFonts w:hint="eastAsia" w:ascii="Arial" w:hAnsi="Arial" w:cs="Arial"/>
                <w:color w:val="000000"/>
                <w:sz w:val="15"/>
                <w:szCs w:val="18"/>
              </w:rPr>
              <w:t>ot</w:t>
            </w:r>
            <w:r>
              <w:rPr>
                <w:rFonts w:ascii="Arial" w:hAnsi="Arial" w:cs="Arial"/>
                <w:color w:val="000000"/>
                <w:sz w:val="15"/>
                <w:szCs w:val="18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sz w:val="15"/>
                <w:szCs w:val="18"/>
              </w:rPr>
              <w:t>known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top w:val="thinThickThinSmallGap" w:color="auto" w:sz="12" w:space="0"/>
              <w:left w:val="thinThickSmallGap" w:color="auto" w:sz="12" w:space="0"/>
              <w:bottom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hsa-miR-1180-3p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1.25E-13</w:t>
            </w:r>
          </w:p>
        </w:tc>
        <w:tc>
          <w:tcPr>
            <w:tcW w:w="0" w:type="auto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6349" w:type="dxa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701" w:type="dxa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top w:val="thinThickThinSmallGap" w:color="auto" w:sz="12" w:space="0"/>
              <w:left w:val="thinThickSmallGap" w:color="auto" w:sz="12" w:space="0"/>
              <w:bottom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hsa-miR-125b-2-3p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2.93E-07</w:t>
            </w:r>
          </w:p>
        </w:tc>
        <w:tc>
          <w:tcPr>
            <w:tcW w:w="0" w:type="auto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6349" w:type="dxa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701" w:type="dxa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bottom w:val="thinThickThinSmallGap" w:color="auto" w:sz="12" w:space="0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top w:val="thinThickThinSmallGap" w:color="auto" w:sz="12" w:space="0"/>
              <w:left w:val="thinThickSmallGap" w:color="auto" w:sz="12" w:space="0"/>
              <w:bottom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thinThickThinSmallGap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hsa-miR-1911-5p</w:t>
            </w:r>
          </w:p>
        </w:tc>
        <w:tc>
          <w:tcPr>
            <w:tcW w:w="0" w:type="auto"/>
            <w:tcBorders>
              <w:top w:val="nil"/>
              <w:left w:val="nil"/>
              <w:bottom w:val="thinThickThinSmallGap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4.06E-11</w:t>
            </w:r>
          </w:p>
        </w:tc>
        <w:tc>
          <w:tcPr>
            <w:tcW w:w="0" w:type="auto"/>
            <w:vMerge w:val="continue"/>
            <w:tcBorders>
              <w:left w:val="nil"/>
              <w:bottom w:val="thinThickThinSmallGap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6349" w:type="dxa"/>
            <w:vMerge w:val="continue"/>
            <w:tcBorders>
              <w:left w:val="nil"/>
              <w:bottom w:val="thinThickThinSmallGap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701" w:type="dxa"/>
            <w:vMerge w:val="continue"/>
            <w:tcBorders>
              <w:left w:val="nil"/>
              <w:bottom w:val="thinThickThinSmallGap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</w:tr>
    </w:tbl>
    <w:p/>
    <w:tbl>
      <w:tblPr>
        <w:tblStyle w:val="5"/>
        <w:tblW w:w="157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721"/>
        <w:gridCol w:w="1579"/>
        <w:gridCol w:w="1288"/>
        <w:gridCol w:w="976"/>
        <w:gridCol w:w="2026"/>
        <w:gridCol w:w="6424"/>
        <w:gridCol w:w="1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5735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rFonts w:ascii="Arial" w:hAnsi="Arial" w:cs="Arial"/>
                <w:b/>
                <w:bCs/>
                <w:sz w:val="18"/>
              </w:rPr>
            </w:pPr>
            <w:r>
              <w:rPr>
                <w:rFonts w:hint="eastAsia" w:ascii="Arial" w:hAnsi="Arial" w:cs="Arial"/>
                <w:b/>
                <w:bCs/>
                <w:sz w:val="18"/>
              </w:rPr>
              <w:t>T</w:t>
            </w:r>
            <w:r>
              <w:rPr>
                <w:rFonts w:ascii="Arial" w:hAnsi="Arial" w:cs="Arial"/>
                <w:b/>
                <w:bCs/>
                <w:sz w:val="18"/>
              </w:rPr>
              <w:t>able</w:t>
            </w:r>
            <w:r>
              <w:rPr>
                <w:rFonts w:hint="eastAsia" w:ascii="Arial" w:hAnsi="Arial" w:cs="Arial"/>
                <w:b/>
                <w:bCs/>
                <w:sz w:val="18"/>
              </w:rPr>
              <w:t>S</w:t>
            </w:r>
            <w:r>
              <w:rPr>
                <w:rFonts w:hint="eastAsia" w:ascii="Arial" w:hAnsi="Arial" w:cs="Arial"/>
                <w:b/>
                <w:bCs/>
                <w:sz w:val="18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ascii="Arial" w:hAnsi="Arial" w:cs="Arial"/>
                <w:b/>
                <w:bCs/>
                <w:sz w:val="18"/>
              </w:rPr>
              <w:t xml:space="preserve"> The</w:t>
            </w:r>
            <w:r>
              <w:t xml:space="preserve"> </w:t>
            </w:r>
            <w:r>
              <w:rPr>
                <w:rFonts w:ascii="Arial" w:hAnsi="Arial" w:cs="Arial"/>
                <w:b/>
                <w:bCs/>
                <w:sz w:val="18"/>
              </w:rPr>
              <w:t>functional annotation of high-expressed CSF exosomal miRNAs (continued)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tcBorders>
              <w:top w:val="thinThickThinSmallGap" w:color="auto" w:sz="12" w:space="0"/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rFonts w:ascii="Arial" w:hAnsi="Arial" w:cs="Arial"/>
                <w:b/>
                <w:bCs/>
                <w:sz w:val="18"/>
              </w:rPr>
            </w:pPr>
            <w:r>
              <w:rPr>
                <w:rFonts w:ascii="Arial" w:hAnsi="Arial" w:cs="Arial"/>
                <w:b/>
                <w:bCs/>
                <w:sz w:val="18"/>
              </w:rPr>
              <w:t>Up/down</w:t>
            </w:r>
          </w:p>
          <w:p>
            <w:pPr>
              <w:adjustRightInd w:val="0"/>
              <w:snapToGrid w:val="0"/>
              <w:spacing w:line="204" w:lineRule="auto"/>
              <w:jc w:val="center"/>
              <w:rPr>
                <w:b/>
                <w:bCs/>
                <w:sz w:val="20"/>
                <w:szCs w:val="24"/>
              </w:rPr>
            </w:pPr>
            <w:r>
              <w:rPr>
                <w:rFonts w:ascii="Arial" w:hAnsi="Arial" w:cs="Arial"/>
                <w:b/>
                <w:bCs/>
                <w:sz w:val="18"/>
              </w:rPr>
              <w:t>in CSF</w:t>
            </w:r>
          </w:p>
        </w:tc>
        <w:tc>
          <w:tcPr>
            <w:tcW w:w="1560" w:type="dxa"/>
            <w:tcBorders>
              <w:top w:val="thinThickThinSmallGap" w:color="auto" w:sz="12" w:space="0"/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18"/>
                <w:szCs w:val="21"/>
                <w:shd w:val="clear" w:color="auto" w:fill="F7F8FA"/>
              </w:rPr>
              <w:t>miRNA types</w:t>
            </w:r>
          </w:p>
        </w:tc>
        <w:tc>
          <w:tcPr>
            <w:tcW w:w="0" w:type="auto"/>
            <w:tcBorders>
              <w:top w:val="thinThickThinSmallGap" w:color="auto" w:sz="12" w:space="0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rFonts w:ascii="Arial" w:hAnsi="Arial" w:cs="Arial"/>
                <w:color w:val="000000"/>
                <w:sz w:val="15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</w:rPr>
              <w:t>miRNAs</w:t>
            </w:r>
          </w:p>
        </w:tc>
        <w:tc>
          <w:tcPr>
            <w:tcW w:w="0" w:type="auto"/>
            <w:tcBorders>
              <w:top w:val="thinThickThinSmallGap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rFonts w:ascii="Arial" w:hAnsi="Arial" w:cs="Arial"/>
                <w:color w:val="000000"/>
                <w:sz w:val="15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</w:rPr>
              <w:t>P</w:t>
            </w:r>
            <w:r>
              <w:rPr>
                <w:rFonts w:ascii="Arial" w:hAnsi="Arial" w:cs="Arial"/>
                <w:b/>
                <w:bCs/>
                <w:sz w:val="18"/>
              </w:rPr>
              <w:t xml:space="preserve"> adj-CSF</w:t>
            </w:r>
          </w:p>
        </w:tc>
        <w:tc>
          <w:tcPr>
            <w:tcW w:w="0" w:type="auto"/>
            <w:tcBorders>
              <w:top w:val="thinThickThinSmallGap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rFonts w:ascii="Arial" w:hAnsi="Arial" w:cs="Arial"/>
                <w:b/>
                <w:bCs/>
                <w:color w:val="333333"/>
                <w:sz w:val="18"/>
                <w:szCs w:val="21"/>
                <w:shd w:val="clear" w:color="auto" w:fill="F7F8FA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18"/>
                <w:szCs w:val="21"/>
                <w:shd w:val="clear" w:color="auto" w:fill="F7F8FA"/>
              </w:rPr>
              <w:t>Downstream</w:t>
            </w:r>
          </w:p>
          <w:p>
            <w:pPr>
              <w:adjustRightInd w:val="0"/>
              <w:snapToGrid w:val="0"/>
              <w:spacing w:line="204" w:lineRule="auto"/>
              <w:jc w:val="center"/>
              <w:rPr>
                <w:rFonts w:ascii="Arial" w:hAnsi="Arial" w:cs="Arial"/>
                <w:color w:val="000000"/>
                <w:sz w:val="15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18"/>
                <w:szCs w:val="21"/>
                <w:shd w:val="clear" w:color="auto" w:fill="F7F8FA"/>
              </w:rPr>
              <w:t>target gene</w:t>
            </w:r>
          </w:p>
        </w:tc>
        <w:tc>
          <w:tcPr>
            <w:tcW w:w="6349" w:type="dxa"/>
            <w:tcBorders>
              <w:top w:val="thinThickThinSmallGap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rFonts w:ascii="Arial" w:hAnsi="Arial" w:cs="Arial"/>
                <w:color w:val="000000"/>
                <w:sz w:val="15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</w:rPr>
              <w:t>Phenotype</w:t>
            </w:r>
          </w:p>
        </w:tc>
        <w:tc>
          <w:tcPr>
            <w:tcW w:w="1701" w:type="dxa"/>
            <w:tcBorders>
              <w:top w:val="thinThickThinSmallGap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rFonts w:ascii="Arial" w:hAnsi="Arial" w:cs="Arial"/>
                <w:color w:val="000000"/>
                <w:sz w:val="15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</w:rPr>
              <w:t>PMID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restart"/>
            <w:tcBorders>
              <w:top w:val="thinThickThinSmallGap" w:color="auto" w:sz="12" w:space="0"/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b/>
                <w:bCs/>
                <w:sz w:val="20"/>
                <w:szCs w:val="24"/>
              </w:rPr>
            </w:pPr>
            <w:r>
              <w:rPr>
                <w:rFonts w:hint="eastAsia"/>
                <w:b/>
                <w:bCs/>
                <w:sz w:val="20"/>
                <w:szCs w:val="24"/>
              </w:rPr>
              <w:t>D</w:t>
            </w:r>
            <w:r>
              <w:rPr>
                <w:b/>
                <w:bCs/>
                <w:sz w:val="20"/>
                <w:szCs w:val="24"/>
              </w:rPr>
              <w:t>own-</w:t>
            </w:r>
          </w:p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b/>
                <w:bCs/>
                <w:szCs w:val="28"/>
              </w:rPr>
              <w:t>regulated in CSF exosome</w:t>
            </w:r>
          </w:p>
        </w:tc>
        <w:tc>
          <w:tcPr>
            <w:tcW w:w="1560" w:type="dxa"/>
            <w:vMerge w:val="restart"/>
            <w:tcBorders>
              <w:top w:val="thinThickThinSmallGap" w:color="auto" w:sz="12" w:space="0"/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20"/>
              </w:rPr>
              <w:t>TS-miR in glioma</w:t>
            </w:r>
          </w:p>
        </w:tc>
        <w:tc>
          <w:tcPr>
            <w:tcW w:w="0" w:type="auto"/>
            <w:tcBorders>
              <w:top w:val="thinThickThinSmallGap" w:color="auto" w:sz="12" w:space="0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hsa-let-7g-5p</w:t>
            </w:r>
          </w:p>
        </w:tc>
        <w:tc>
          <w:tcPr>
            <w:tcW w:w="0" w:type="auto"/>
            <w:tcBorders>
              <w:top w:val="thinThickThinSmallGap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3.07E-32</w:t>
            </w:r>
          </w:p>
        </w:tc>
        <w:tc>
          <w:tcPr>
            <w:tcW w:w="0" w:type="auto"/>
            <w:tcBorders>
              <w:top w:val="thinThickThinSmallGap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VSIG4</w:t>
            </w:r>
          </w:p>
        </w:tc>
        <w:tc>
          <w:tcPr>
            <w:tcW w:w="6349" w:type="dxa"/>
            <w:tcBorders>
              <w:top w:val="thinThickThinSmallGap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EMT</w:t>
            </w:r>
          </w:p>
        </w:tc>
        <w:tc>
          <w:tcPr>
            <w:tcW w:w="1701" w:type="dxa"/>
            <w:tcBorders>
              <w:top w:val="thinThickThinSmallGap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27634309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hsa-let-7i-5p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9.89E-19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IKBKE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invasion and migration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25656572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hsa-miR-101-3p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6.44E-26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TRIM44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EMT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30539341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hsa-miR-103a-3p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3.10E-08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FEZF1 CDC25A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 migration and invasion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28651608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hsa-miR-103b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2.41E-08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SALL4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 and Migration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30423818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1.51E-08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notch2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growth invasion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23572380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hsa-miR-140-5p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3.28E-07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ADAM9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inhibited proliferation, migration and invasion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27498787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hsa-miR-142-3p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4.43E-22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ITGB8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inhibited cell proliferation and invasion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29337055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hsa-miR-142-5p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6.60E-34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Rac1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inhibits the migration and invasion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28714015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hsa-miR-146a-5p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8.75E-41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SMAD4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suppresses tumorigenic gene, MMP9 in gliomaassociated microglia and glioma cell viability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29861845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hsa-miR-146b-5p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1.90E-25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MMP16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migration and invasion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31385537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hsa-miR-148b-3p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1.37E-14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HOTAIR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cell proliferation, cell cycle progression and invasion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27446363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hsa-miR-150-5p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1.98E-14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PLP2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proliferation, migration and invasion, and resistance to temozolomide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31535380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hsa-miR-155-5p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5.27E-12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FAM133A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Invasion and migration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29885519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hsa-miR-15b-5p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0.01001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SALL4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proliferation, migration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30423818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hsa-miR-16-5p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4.53E-19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URGCP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growth invasion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29044221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hsa-miR-185-5p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9.84E-09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HGMA2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proliferation，metastatic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30860979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hsa-miR-186-5p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2.80E-28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FGF2 REIA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invasion migration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28213656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hsa-miR-199b-5p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0.005377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HES1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26823491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hsa-miR-21-5p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3.28E-28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p-21 protein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25646699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hsa-miR-223-5p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1.10E-11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Resistance to chemotherapy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31046428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hsa-miR-29a-3p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2.88E-09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Notch2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29258209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hsa-miR-30e-5p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2.95E-08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MYBL2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Invasive  migration cycle arrest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30305611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hsa-miR-340-5p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4.85E-15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POSTN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 TAM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31427735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hsa-miR-342-3p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6.56E-06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E2F1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30868897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hsa-miR-378c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9.03E-29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IRG1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Invasive migration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29949160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hsa-miR-542-3p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0.03136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AKT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Invasive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26286747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hsa-miR-7-5p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1.42E-05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PI3K and Raf-1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24603851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bottom w:val="single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hsa-miR-93-5p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1.75E-10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MMP2</w:t>
            </w:r>
          </w:p>
        </w:tc>
        <w:tc>
          <w:tcPr>
            <w:tcW w:w="634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proliferation, Invasive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31773703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12" w:space="0"/>
              <w:left w:val="thinThickThinSmallGap" w:color="auto" w:sz="12" w:space="0"/>
              <w:bottom w:val="single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b/>
                <w:bCs/>
                <w:sz w:val="16"/>
                <w:szCs w:val="20"/>
              </w:rPr>
              <w:t>TS-miR in other tumours</w:t>
            </w:r>
          </w:p>
        </w:tc>
        <w:tc>
          <w:tcPr>
            <w:tcW w:w="0" w:type="auto"/>
            <w:tcBorders>
              <w:top w:val="single" w:color="auto" w:sz="12" w:space="0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hsa-miR-140-3p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4.92E-25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BRD9</w:t>
            </w:r>
          </w:p>
        </w:tc>
        <w:tc>
          <w:tcPr>
            <w:tcW w:w="6349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30660651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12" w:space="0"/>
              <w:left w:val="thinThickThinSmallGap" w:color="auto" w:sz="12" w:space="0"/>
              <w:bottom w:val="single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hsa-miR-16-2-3p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0.000215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FGFR2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enhances apoptosis and chemosensitivity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31018244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12" w:space="0"/>
              <w:left w:val="thinThickThinSmallGap" w:color="auto" w:sz="12" w:space="0"/>
              <w:bottom w:val="single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hsa-miR-181b-5p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3.11E-05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NOVA1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proliferation, migraton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25299073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12" w:space="0"/>
              <w:left w:val="thinThickThinSmallGap" w:color="auto" w:sz="12" w:space="0"/>
              <w:bottom w:val="single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hsa-miR-23a-3p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1.23E-13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ADCY1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 migration Invasive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30867808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12" w:space="0"/>
              <w:left w:val="thinThickThinSmallGap" w:color="auto" w:sz="12" w:space="0"/>
              <w:bottom w:val="single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hsa-miR-26b-5p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1.51E-16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TRIM44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Invasive  migration apoptosis proliferation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30922374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12" w:space="0"/>
              <w:left w:val="thinThickThinSmallGap" w:color="auto" w:sz="12" w:space="0"/>
              <w:bottom w:val="single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hsa-miR-27a-5p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2.11E-16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EGFR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29415999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12" w:space="0"/>
              <w:left w:val="thinThickThinSmallGap" w:color="auto" w:sz="12" w:space="0"/>
              <w:bottom w:val="single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hsa-miR-378a-3p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1.59E-22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29897167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12" w:space="0"/>
              <w:left w:val="thinThickThinSmallGap" w:color="auto" w:sz="12" w:space="0"/>
              <w:bottom w:val="single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hsa-miR-451a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3.67E-06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ATF2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Invasive migration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30229828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12" w:space="0"/>
              <w:left w:val="thinThickThinSmallGap" w:color="auto" w:sz="12" w:space="0"/>
              <w:bottom w:val="single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hsa-miR-660-5p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3.55E-06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MDM2</w:t>
            </w:r>
          </w:p>
        </w:tc>
        <w:tc>
          <w:tcPr>
            <w:tcW w:w="634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25501825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12" w:space="0"/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T</w:t>
            </w:r>
            <w:r>
              <w:rPr>
                <w:b/>
                <w:bCs/>
                <w:sz w:val="18"/>
              </w:rPr>
              <w:t>P</w:t>
            </w:r>
            <w:r>
              <w:rPr>
                <w:rFonts w:hint="eastAsia"/>
                <w:b/>
                <w:bCs/>
                <w:sz w:val="18"/>
              </w:rPr>
              <w:t>-mi</w:t>
            </w:r>
            <w:r>
              <w:rPr>
                <w:b/>
                <w:bCs/>
                <w:sz w:val="18"/>
              </w:rPr>
              <w:t>R</w:t>
            </w:r>
          </w:p>
        </w:tc>
        <w:tc>
          <w:tcPr>
            <w:tcW w:w="0" w:type="auto"/>
            <w:tcBorders>
              <w:top w:val="single" w:color="auto" w:sz="12" w:space="0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hsa-miR-106b-5p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1.89E-08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RBL1 RBL2 CASP8</w:t>
            </w:r>
          </w:p>
        </w:tc>
        <w:tc>
          <w:tcPr>
            <w:tcW w:w="6349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24166509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hsa-miR-17-5p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2.64E-08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24145352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hsa-miR-20a-5p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3.97E-08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TIMP2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 Invasive  migration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24704830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hsa-miR-215-5p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0.01258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PCDH9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 metastatic apoptosis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28055966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b/>
                <w:bCs/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hsa-miR-23b-3p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3.76E-05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ATG12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apoptosis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29162158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hsa-miR-27a-3p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1.86E-07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MXI1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23254855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hsa-miR-29b-3p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1.77E-07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CNR1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chemotherapy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27613640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hsa-miR-330-5p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0.000786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SH3GL2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23029364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hsa-miR-374a-5p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1.89E-08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FOXO1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Resistance to chemotherapy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30841958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hsa-miR-374b-5p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2.64E-15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GATA3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proliferation, Invasive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30868892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hsa-miR-454-3p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0.005873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EGR3.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31641382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hsa-miR-500a-3p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2.28E-08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STAT3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Stem cell resistance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28750679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hsa-miR-582-3p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0.005969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AXIN2, DKK3 and SFRP1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tumorigenesis and tumour recurrence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26468775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hsa-miR-629-5p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1.98E-14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β-catenin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proliferation, migration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30954576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hsa-miR-652-3p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3.08E-22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KCNN3</w:t>
            </w:r>
          </w:p>
        </w:tc>
        <w:tc>
          <w:tcPr>
            <w:tcW w:w="6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31696467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bottom w:val="single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hsa-miR-769-5p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5.13E-05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Lysine Methyltransferase 2A</w:t>
            </w:r>
          </w:p>
        </w:tc>
        <w:tc>
          <w:tcPr>
            <w:tcW w:w="634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proliferation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31807002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12" w:space="0"/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20"/>
              </w:rPr>
              <w:t>N</w:t>
            </w:r>
            <w:r>
              <w:rPr>
                <w:rFonts w:hint="eastAsia" w:ascii="Arial" w:hAnsi="Arial" w:cs="Arial"/>
                <w:b/>
                <w:bCs/>
                <w:color w:val="000000"/>
                <w:sz w:val="16"/>
                <w:szCs w:val="20"/>
              </w:rPr>
              <w:t>ot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20"/>
              </w:rPr>
              <w:t xml:space="preserve"> </w:t>
            </w:r>
            <w:r>
              <w:rPr>
                <w:rFonts w:hint="eastAsia" w:ascii="Arial" w:hAnsi="Arial" w:cs="Arial"/>
                <w:b/>
                <w:bCs/>
                <w:color w:val="000000"/>
                <w:sz w:val="16"/>
                <w:szCs w:val="20"/>
              </w:rPr>
              <w:t>known</w:t>
            </w:r>
          </w:p>
        </w:tc>
        <w:tc>
          <w:tcPr>
            <w:tcW w:w="0" w:type="auto"/>
            <w:tcBorders>
              <w:top w:val="single" w:color="auto" w:sz="12" w:space="0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hsa-miR-106b-3p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1.65E-13</w:t>
            </w:r>
          </w:p>
        </w:tc>
        <w:tc>
          <w:tcPr>
            <w:tcW w:w="0" w:type="auto"/>
            <w:vMerge w:val="restart"/>
            <w:tcBorders>
              <w:top w:val="single" w:color="auto" w:sz="12" w:space="0"/>
              <w:left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rFonts w:ascii="Arial" w:hAnsi="Arial" w:cs="Arial"/>
                <w:color w:val="000000"/>
                <w:sz w:val="16"/>
                <w:szCs w:val="20"/>
              </w:rPr>
            </w:pPr>
          </w:p>
          <w:p>
            <w:pPr>
              <w:adjustRightInd w:val="0"/>
              <w:snapToGrid w:val="0"/>
              <w:spacing w:line="204" w:lineRule="auto"/>
              <w:jc w:val="center"/>
              <w:rPr>
                <w:rFonts w:ascii="Arial" w:hAnsi="Arial" w:cs="Arial"/>
                <w:color w:val="000000"/>
                <w:sz w:val="16"/>
                <w:szCs w:val="20"/>
              </w:rPr>
            </w:pPr>
          </w:p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6"/>
                <w:szCs w:val="20"/>
              </w:rPr>
              <w:t>N</w:t>
            </w:r>
            <w:r>
              <w:rPr>
                <w:rFonts w:hint="eastAsia" w:ascii="Arial" w:hAnsi="Arial" w:cs="Arial"/>
                <w:color w:val="000000"/>
                <w:sz w:val="16"/>
                <w:szCs w:val="20"/>
              </w:rPr>
              <w:t>ot</w:t>
            </w:r>
            <w:r>
              <w:rPr>
                <w:rFonts w:ascii="Arial" w:hAnsi="Arial" w:cs="Arial"/>
                <w:color w:val="000000"/>
                <w:sz w:val="16"/>
                <w:szCs w:val="20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sz w:val="16"/>
                <w:szCs w:val="20"/>
              </w:rPr>
              <w:t>known</w:t>
            </w:r>
          </w:p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6349" w:type="dxa"/>
            <w:vMerge w:val="restart"/>
            <w:tcBorders>
              <w:top w:val="single" w:color="auto" w:sz="12" w:space="0"/>
              <w:left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rFonts w:ascii="Arial" w:hAnsi="Arial" w:cs="Arial"/>
                <w:color w:val="000000"/>
                <w:sz w:val="16"/>
                <w:szCs w:val="20"/>
              </w:rPr>
            </w:pPr>
          </w:p>
          <w:p>
            <w:pPr>
              <w:adjustRightInd w:val="0"/>
              <w:snapToGrid w:val="0"/>
              <w:spacing w:line="204" w:lineRule="auto"/>
              <w:jc w:val="center"/>
              <w:rPr>
                <w:rFonts w:ascii="Arial" w:hAnsi="Arial" w:cs="Arial"/>
                <w:color w:val="000000"/>
                <w:sz w:val="16"/>
                <w:szCs w:val="20"/>
              </w:rPr>
            </w:pPr>
          </w:p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6"/>
                <w:szCs w:val="20"/>
              </w:rPr>
              <w:t>N</w:t>
            </w:r>
            <w:r>
              <w:rPr>
                <w:rFonts w:hint="eastAsia" w:ascii="Arial" w:hAnsi="Arial" w:cs="Arial"/>
                <w:color w:val="000000"/>
                <w:sz w:val="16"/>
                <w:szCs w:val="20"/>
              </w:rPr>
              <w:t>ot</w:t>
            </w:r>
            <w:r>
              <w:rPr>
                <w:rFonts w:ascii="Arial" w:hAnsi="Arial" w:cs="Arial"/>
                <w:color w:val="000000"/>
                <w:sz w:val="16"/>
                <w:szCs w:val="20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sz w:val="16"/>
                <w:szCs w:val="20"/>
              </w:rPr>
              <w:t>known</w:t>
            </w:r>
          </w:p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12" w:space="0"/>
              <w:left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rFonts w:ascii="Arial" w:hAnsi="Arial" w:cs="Arial"/>
                <w:color w:val="000000"/>
                <w:sz w:val="16"/>
                <w:szCs w:val="20"/>
              </w:rPr>
            </w:pPr>
          </w:p>
          <w:p>
            <w:pPr>
              <w:adjustRightInd w:val="0"/>
              <w:snapToGrid w:val="0"/>
              <w:spacing w:line="204" w:lineRule="auto"/>
              <w:jc w:val="center"/>
              <w:rPr>
                <w:rFonts w:ascii="Arial" w:hAnsi="Arial" w:cs="Arial"/>
                <w:color w:val="000000"/>
                <w:sz w:val="16"/>
                <w:szCs w:val="20"/>
              </w:rPr>
            </w:pPr>
          </w:p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6"/>
                <w:szCs w:val="20"/>
              </w:rPr>
              <w:t>N</w:t>
            </w:r>
            <w:r>
              <w:rPr>
                <w:rFonts w:hint="eastAsia" w:ascii="Arial" w:hAnsi="Arial" w:cs="Arial"/>
                <w:color w:val="000000"/>
                <w:sz w:val="16"/>
                <w:szCs w:val="20"/>
              </w:rPr>
              <w:t>ot</w:t>
            </w:r>
            <w:r>
              <w:rPr>
                <w:rFonts w:ascii="Arial" w:hAnsi="Arial" w:cs="Arial"/>
                <w:color w:val="000000"/>
                <w:sz w:val="16"/>
                <w:szCs w:val="20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sz w:val="16"/>
                <w:szCs w:val="20"/>
              </w:rPr>
              <w:t>known</w:t>
            </w:r>
          </w:p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hsa-miR-181a-3p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6.16E-05</w:t>
            </w:r>
          </w:p>
        </w:tc>
        <w:tc>
          <w:tcPr>
            <w:tcW w:w="0" w:type="auto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634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701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hsa-miR-3529-3p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1.42E-05</w:t>
            </w:r>
          </w:p>
        </w:tc>
        <w:tc>
          <w:tcPr>
            <w:tcW w:w="0" w:type="auto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634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701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hsa-miR-374a-3p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5.99E-06</w:t>
            </w:r>
          </w:p>
        </w:tc>
        <w:tc>
          <w:tcPr>
            <w:tcW w:w="0" w:type="auto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634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701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" w:hRule="atLeast"/>
        </w:trPr>
        <w:tc>
          <w:tcPr>
            <w:tcW w:w="1701" w:type="dxa"/>
            <w:vMerge w:val="continue"/>
            <w:tcBorders>
              <w:left w:val="nil"/>
              <w:bottom w:val="thinThickThinSmallGap" w:color="auto" w:sz="24" w:space="0"/>
              <w:right w:val="thinThickThinSmallGap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560" w:type="dxa"/>
            <w:vMerge w:val="continue"/>
            <w:tcBorders>
              <w:left w:val="thinThickThinSmallGap" w:color="auto" w:sz="12" w:space="0"/>
              <w:bottom w:val="thinThickThinSmallGap" w:color="auto" w:sz="24" w:space="0"/>
              <w:right w:val="dotted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dotted" w:color="auto" w:sz="8" w:space="0"/>
              <w:bottom w:val="thinThickThinSmallGap" w:color="auto" w:sz="24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hsa-miR-374c-3p</w:t>
            </w:r>
          </w:p>
        </w:tc>
        <w:tc>
          <w:tcPr>
            <w:tcW w:w="0" w:type="auto"/>
            <w:tcBorders>
              <w:top w:val="nil"/>
              <w:left w:val="nil"/>
              <w:bottom w:val="thinThickThinSmallGap" w:color="auto" w:sz="24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  <w:r>
              <w:rPr>
                <w:rFonts w:ascii="Arial" w:hAnsi="Arial" w:cs="Arial"/>
                <w:color w:val="000000"/>
                <w:sz w:val="15"/>
                <w:szCs w:val="18"/>
              </w:rPr>
              <w:t>2.64E-15</w:t>
            </w:r>
          </w:p>
        </w:tc>
        <w:tc>
          <w:tcPr>
            <w:tcW w:w="0" w:type="auto"/>
            <w:vMerge w:val="continue"/>
            <w:tcBorders>
              <w:left w:val="nil"/>
              <w:bottom w:val="thinThickThinSmallGap" w:color="auto" w:sz="2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6349" w:type="dxa"/>
            <w:vMerge w:val="continue"/>
            <w:tcBorders>
              <w:left w:val="nil"/>
              <w:bottom w:val="thinThickThinSmallGap" w:color="auto" w:sz="2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  <w:tc>
          <w:tcPr>
            <w:tcW w:w="1701" w:type="dxa"/>
            <w:vMerge w:val="continue"/>
            <w:tcBorders>
              <w:left w:val="nil"/>
              <w:bottom w:val="thinThickThinSmallGap" w:color="auto" w:sz="2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18"/>
              </w:rPr>
            </w:pPr>
          </w:p>
        </w:tc>
      </w:tr>
    </w:tbl>
    <w:p>
      <w:pPr>
        <w:adjustRightInd w:val="0"/>
        <w:snapToGrid w:val="0"/>
        <w:jc w:val="center"/>
        <w:rPr>
          <w:sz w:val="18"/>
        </w:rPr>
      </w:pPr>
    </w:p>
    <w:sectPr>
      <w:pgSz w:w="16838" w:h="11906" w:orient="landscape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51D4AB74-056A-4C02-AF8E-4AC5E23684E9}"/>
    <w:docVar w:name="KY_MEDREF_VERSION" w:val="3"/>
  </w:docVars>
  <w:rsids>
    <w:rsidRoot w:val="006B555F"/>
    <w:rsid w:val="00015AE1"/>
    <w:rsid w:val="00020ADE"/>
    <w:rsid w:val="00033DCB"/>
    <w:rsid w:val="000F20B8"/>
    <w:rsid w:val="00202252"/>
    <w:rsid w:val="00235639"/>
    <w:rsid w:val="0028492B"/>
    <w:rsid w:val="002E33AC"/>
    <w:rsid w:val="00325ADA"/>
    <w:rsid w:val="004167B3"/>
    <w:rsid w:val="004229D7"/>
    <w:rsid w:val="00512B67"/>
    <w:rsid w:val="006310BE"/>
    <w:rsid w:val="006A3FA2"/>
    <w:rsid w:val="006B555F"/>
    <w:rsid w:val="007509BC"/>
    <w:rsid w:val="0079581B"/>
    <w:rsid w:val="007D1175"/>
    <w:rsid w:val="00855E16"/>
    <w:rsid w:val="008E588D"/>
    <w:rsid w:val="00906FBC"/>
    <w:rsid w:val="00923CE5"/>
    <w:rsid w:val="00981815"/>
    <w:rsid w:val="009E4300"/>
    <w:rsid w:val="00A97233"/>
    <w:rsid w:val="00AD6121"/>
    <w:rsid w:val="00B55C82"/>
    <w:rsid w:val="00C00558"/>
    <w:rsid w:val="00C307E2"/>
    <w:rsid w:val="00C5085E"/>
    <w:rsid w:val="00DE4948"/>
    <w:rsid w:val="00EA65D8"/>
    <w:rsid w:val="1EB153E3"/>
    <w:rsid w:val="2EBC1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F40CD1-F9A6-4EB5-8348-D87AEE24DBC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1200</Words>
  <Characters>6840</Characters>
  <Lines>57</Lines>
  <Paragraphs>16</Paragraphs>
  <TotalTime>18</TotalTime>
  <ScaleCrop>false</ScaleCrop>
  <LinksUpToDate>false</LinksUpToDate>
  <CharactersWithSpaces>8024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2019-12-13T01:34:00Z</dcterms:created>
  <dc:creator>? ?</dc:creator>
  <cp:lastModifiedBy>WPS_1615178187</cp:lastModifiedBy>
  <dcterms:modified xsi:type="dcterms:W3CDTF">2021-04-28T13:16:55Z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F594CC49F4D140F8940AB57F5EE3C47D</vt:lpwstr>
  </property>
</Properties>
</file>