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2"/>
          <w:szCs w:val="28"/>
        </w:rPr>
      </w:pPr>
      <w:r>
        <w:rPr>
          <w:sz w:val="22"/>
          <w:szCs w:val="28"/>
        </w:rPr>
        <w:drawing>
          <wp:anchor distT="0" distB="0" distL="114300" distR="114300" simplePos="0" relativeHeight="251659264" behindDoc="0" locked="0" layoutInCell="1" allowOverlap="1">
            <wp:simplePos x="0" y="0"/>
            <wp:positionH relativeFrom="column">
              <wp:posOffset>-5715</wp:posOffset>
            </wp:positionH>
            <wp:positionV relativeFrom="paragraph">
              <wp:posOffset>118745</wp:posOffset>
            </wp:positionV>
            <wp:extent cx="5271770" cy="7074535"/>
            <wp:effectExtent l="0" t="0" r="7620" b="8255"/>
            <wp:wrapTopAndBottom/>
            <wp:docPr id="3" name="图片 3" descr="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S1"/>
                    <pic:cNvPicPr>
                      <a:picLocks noChangeAspect="1"/>
                    </pic:cNvPicPr>
                  </pic:nvPicPr>
                  <pic:blipFill>
                    <a:blip r:embed="rId4"/>
                    <a:stretch>
                      <a:fillRect/>
                    </a:stretch>
                  </pic:blipFill>
                  <pic:spPr>
                    <a:xfrm>
                      <a:off x="0" y="0"/>
                      <a:ext cx="5271770" cy="7074535"/>
                    </a:xfrm>
                    <a:prstGeom prst="rect">
                      <a:avLst/>
                    </a:prstGeom>
                  </pic:spPr>
                </pic:pic>
              </a:graphicData>
            </a:graphic>
          </wp:anchor>
        </w:drawing>
      </w:r>
      <w:r>
        <w:rPr>
          <w:rFonts w:hint="eastAsia"/>
          <w:sz w:val="22"/>
          <w:szCs w:val="28"/>
        </w:rPr>
        <w:t>F</w:t>
      </w:r>
      <w:r>
        <w:rPr>
          <w:sz w:val="22"/>
          <w:szCs w:val="28"/>
        </w:rPr>
        <w:t xml:space="preserve">ig. S1 Violin- and box-plot analysis comparing the levels and distributions of RNAs in sEV of CSF. The x-axis and y-axis represent samples and the VST (variance-stabilizing transformation)-transformed expression value from DESeq2 results, respectively. The median and quartile display on each violin-plot using box-plot. Only miRNAs (a) showed relatively high and stable expression and distribution characteristics in CSF sEV, while mRNAs (b), lncRNAs (c), and circRNAs (d) expression in CSF sEV were low and unstable. </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67325" cy="7014210"/>
            <wp:effectExtent l="0" t="0" r="1270" b="3175"/>
            <wp:docPr id="4" name="图片 4" descr="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S2"/>
                    <pic:cNvPicPr>
                      <a:picLocks noChangeAspect="1"/>
                    </pic:cNvPicPr>
                  </pic:nvPicPr>
                  <pic:blipFill>
                    <a:blip r:embed="rId5"/>
                    <a:stretch>
                      <a:fillRect/>
                    </a:stretch>
                  </pic:blipFill>
                  <pic:spPr>
                    <a:xfrm>
                      <a:off x="0" y="0"/>
                      <a:ext cx="5267325" cy="7014210"/>
                    </a:xfrm>
                    <a:prstGeom prst="rect">
                      <a:avLst/>
                    </a:prstGeom>
                  </pic:spPr>
                </pic:pic>
              </a:graphicData>
            </a:graphic>
          </wp:inline>
        </w:drawing>
      </w:r>
    </w:p>
    <w:p>
      <w:pPr>
        <w:rPr>
          <w:sz w:val="22"/>
          <w:szCs w:val="28"/>
        </w:rPr>
      </w:pPr>
      <w:r>
        <w:rPr>
          <w:rFonts w:hint="eastAsia"/>
          <w:sz w:val="22"/>
          <w:szCs w:val="28"/>
        </w:rPr>
        <w:t>F</w:t>
      </w:r>
      <w:r>
        <w:rPr>
          <w:sz w:val="22"/>
          <w:szCs w:val="28"/>
        </w:rPr>
        <w:t xml:space="preserve">ig. </w:t>
      </w:r>
      <w:r>
        <w:rPr>
          <w:rFonts w:hint="eastAsia"/>
          <w:sz w:val="22"/>
          <w:szCs w:val="28"/>
        </w:rPr>
        <w:t>S</w:t>
      </w:r>
      <w:r>
        <w:rPr>
          <w:sz w:val="22"/>
          <w:szCs w:val="28"/>
        </w:rPr>
        <w:t xml:space="preserve">2 Violin- and box-plot analysis comparing the levels and distributions of RNAs in tissues. The x-axis and y-axis represent samples and the VST (variance-stabilizing transformation)-transformed expression value from DESeq2 results, respectively. The median and quartile display on each violin-plot using box-plot. Except for circRNA (d), miRNAs (a), mRNAs (b) and lncRNAs (c) showed relatively high and stable expression and distribution characteristics in tissues, including glioma and control tissues.  </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71770" cy="4756785"/>
            <wp:effectExtent l="0" t="0" r="7620" b="0"/>
            <wp:docPr id="5" name="图片 5" descr="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S3"/>
                    <pic:cNvPicPr>
                      <a:picLocks noChangeAspect="1"/>
                    </pic:cNvPicPr>
                  </pic:nvPicPr>
                  <pic:blipFill>
                    <a:blip r:embed="rId6"/>
                    <a:stretch>
                      <a:fillRect/>
                    </a:stretch>
                  </pic:blipFill>
                  <pic:spPr>
                    <a:xfrm>
                      <a:off x="0" y="0"/>
                      <a:ext cx="5271770" cy="4756785"/>
                    </a:xfrm>
                    <a:prstGeom prst="rect">
                      <a:avLst/>
                    </a:prstGeom>
                  </pic:spPr>
                </pic:pic>
              </a:graphicData>
            </a:graphic>
          </wp:inline>
        </w:drawing>
      </w:r>
    </w:p>
    <w:p>
      <w:pPr>
        <w:rPr>
          <w:sz w:val="22"/>
          <w:szCs w:val="28"/>
        </w:rPr>
      </w:pPr>
      <w:r>
        <w:rPr>
          <w:rFonts w:hint="eastAsia"/>
          <w:sz w:val="22"/>
          <w:szCs w:val="28"/>
        </w:rPr>
        <w:t>Fig.</w:t>
      </w:r>
      <w:r>
        <w:rPr>
          <w:sz w:val="22"/>
          <w:szCs w:val="28"/>
        </w:rPr>
        <w:t xml:space="preserve"> S3 CSF sEV mRNA, lncRNA and circRNA insufficiently indicating tumor-burdened status in glioma patients. a, b, c, The ability of tumor- burdened status discrimination of mRNA, lncRNA and circRNA in CSF sEV. Shown are the PCA score and distribution plots (left) of miRNA expression in pre-operation CSF sEV (pre), post-operation No.1 CSF sEV (p1), normal CSF sEV (nor) and sEV of the following up CSF samples with (rec) or without recurrence (no_rec) and the sample clustering (pairwise Pearson correlation Coefficient analysis) of all CSF sEV samples of our cohort (right). d, The misclassified post-operation CSF sEV miRNA samples (p1') were shown in the PCA score and distribution plots (up), and the sample clustering (down). e, The number of days from operation to the time of p1' CSF collection was significantly less than that of p1 CSF collection.</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67960" cy="5133975"/>
            <wp:effectExtent l="0" t="0" r="635" b="5080"/>
            <wp:docPr id="6" name="图片 6" descr="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S4"/>
                    <pic:cNvPicPr>
                      <a:picLocks noChangeAspect="1"/>
                    </pic:cNvPicPr>
                  </pic:nvPicPr>
                  <pic:blipFill>
                    <a:blip r:embed="rId7"/>
                    <a:stretch>
                      <a:fillRect/>
                    </a:stretch>
                  </pic:blipFill>
                  <pic:spPr>
                    <a:xfrm>
                      <a:off x="0" y="0"/>
                      <a:ext cx="5267960" cy="5133975"/>
                    </a:xfrm>
                    <a:prstGeom prst="rect">
                      <a:avLst/>
                    </a:prstGeom>
                  </pic:spPr>
                </pic:pic>
              </a:graphicData>
            </a:graphic>
          </wp:inline>
        </w:drawing>
      </w:r>
    </w:p>
    <w:p>
      <w:pPr>
        <w:rPr>
          <w:sz w:val="22"/>
          <w:szCs w:val="28"/>
        </w:rPr>
      </w:pPr>
      <w:r>
        <w:rPr>
          <w:rFonts w:hint="eastAsia"/>
          <w:sz w:val="22"/>
          <w:szCs w:val="28"/>
        </w:rPr>
        <w:t>F</w:t>
      </w:r>
      <w:r>
        <w:rPr>
          <w:sz w:val="22"/>
          <w:szCs w:val="28"/>
        </w:rPr>
        <w:t>ig. S4 Expression profile of miRNA, mRNA, lncRNA and circRNA faultlessly identifying glioma tissues from control brain tissues. The ability of tumor and normal brain tissue discrimination of miRNA (a), mRNA (b), lncRNA (c) and circRNA (d) in surgical specimens. The panels in order (from left to right) were</w:t>
      </w:r>
      <w:bookmarkStart w:id="0" w:name="OLE_LINK33"/>
      <w:bookmarkStart w:id="1" w:name="OLE_LINK34"/>
      <w:r>
        <w:rPr>
          <w:sz w:val="22"/>
          <w:szCs w:val="28"/>
        </w:rPr>
        <w:t xml:space="preserve"> volcano plot, sample clustering (Pearson Correlation Coefficient) and Principal Component Analysis of RNA expression levels </w:t>
      </w:r>
      <w:bookmarkEnd w:id="0"/>
      <w:bookmarkEnd w:id="1"/>
      <w:r>
        <w:rPr>
          <w:sz w:val="22"/>
          <w:szCs w:val="28"/>
        </w:rPr>
        <w:t>and unsupervised hierarchical cluster analysis of the top 100 up- and down-regulated RNAs (|log2foldchange|≥1 and FDR &lt; 0.05, sorted by FDR) in glioma tissues compared with control brain tissues.</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69230" cy="4598035"/>
            <wp:effectExtent l="0" t="0" r="9525" b="635"/>
            <wp:docPr id="7" name="图片 7" descr="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S5"/>
                    <pic:cNvPicPr>
                      <a:picLocks noChangeAspect="1"/>
                    </pic:cNvPicPr>
                  </pic:nvPicPr>
                  <pic:blipFill>
                    <a:blip r:embed="rId8"/>
                    <a:stretch>
                      <a:fillRect/>
                    </a:stretch>
                  </pic:blipFill>
                  <pic:spPr>
                    <a:xfrm>
                      <a:off x="0" y="0"/>
                      <a:ext cx="5269230" cy="4598035"/>
                    </a:xfrm>
                    <a:prstGeom prst="rect">
                      <a:avLst/>
                    </a:prstGeom>
                  </pic:spPr>
                </pic:pic>
              </a:graphicData>
            </a:graphic>
          </wp:inline>
        </w:drawing>
      </w:r>
    </w:p>
    <w:p>
      <w:pPr>
        <w:rPr>
          <w:rFonts w:hint="default" w:eastAsiaTheme="minorEastAsia"/>
          <w:sz w:val="22"/>
          <w:szCs w:val="28"/>
          <w:lang w:val="en-US" w:eastAsia="zh-CN"/>
        </w:rPr>
      </w:pPr>
      <w:r>
        <w:rPr>
          <w:rFonts w:hint="eastAsia"/>
          <w:sz w:val="22"/>
          <w:szCs w:val="28"/>
          <w:lang w:val="en-US" w:eastAsia="zh-CN"/>
        </w:rPr>
        <w:t xml:space="preserve">Fig. S5 </w:t>
      </w:r>
      <w:r>
        <w:rPr>
          <w:sz w:val="22"/>
          <w:szCs w:val="28"/>
        </w:rPr>
        <w:t xml:space="preserve">Tumour suppressive miRNAs dominated CSF sEV of glioma patients. a, The volcano plot of differentially expressed miRNAs between tumour-burdened CSF sEV and sEV of non-tumorous CSF including post-operation No.1 and normal CSF. b, Venn diagram of the predicted target mRNAs of above-mentioned differential expressed miRNAs (down- and up- regulated, respectively). The red, green, purple and yellow circle separately represented the targets obtained using Targetscan, miRTarBase, miRDB and </w:t>
      </w:r>
      <w:r>
        <w:rPr>
          <w:sz w:val="22"/>
          <w:szCs w:val="28"/>
          <w:lang w:val="en-GB"/>
        </w:rPr>
        <w:t xml:space="preserve">Pearson Correlation Coefficient (PCC) analysis between the expression levels of mRNA and miRNA in glioma tissues (PCC&lt; -0.3 and p value&lt;0.05). </w:t>
      </w:r>
      <w:r>
        <w:rPr>
          <w:sz w:val="22"/>
          <w:szCs w:val="28"/>
        </w:rPr>
        <w:t>The selected target sets shown in black font were retained for pathway enrichment analysis. c, KEGG pathway enrichment analysis for targets of above-mentioned differential expressed miRNAs (down- and up- regulated bubble chart, respectively)</w:t>
      </w:r>
      <w:r>
        <w:rPr>
          <w:rFonts w:ascii="Times New Roman" w:hAnsi="Times New Roman" w:cs="Times New Roman"/>
        </w:rPr>
        <w:t>.</w:t>
      </w:r>
    </w:p>
    <w:p>
      <w:pPr>
        <w:rPr>
          <w:sz w:val="22"/>
          <w:szCs w:val="28"/>
        </w:rPr>
      </w:pPr>
      <w:r>
        <w:rPr>
          <w:rFonts w:hint="eastAsia"/>
          <w:sz w:val="22"/>
          <w:szCs w:val="28"/>
        </w:rPr>
        <w:drawing>
          <wp:inline distT="0" distB="0" distL="114300" distR="114300">
            <wp:extent cx="5273040" cy="6563360"/>
            <wp:effectExtent l="0" t="0" r="5715" b="0"/>
            <wp:docPr id="8" name="图片 8" descr="figure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S6"/>
                    <pic:cNvPicPr>
                      <a:picLocks noChangeAspect="1"/>
                    </pic:cNvPicPr>
                  </pic:nvPicPr>
                  <pic:blipFill>
                    <a:blip r:embed="rId9"/>
                    <a:stretch>
                      <a:fillRect/>
                    </a:stretch>
                  </pic:blipFill>
                  <pic:spPr>
                    <a:xfrm>
                      <a:off x="0" y="0"/>
                      <a:ext cx="5273040" cy="6563360"/>
                    </a:xfrm>
                    <a:prstGeom prst="rect">
                      <a:avLst/>
                    </a:prstGeom>
                  </pic:spPr>
                </pic:pic>
              </a:graphicData>
            </a:graphic>
          </wp:inline>
        </w:drawing>
      </w:r>
      <w:r>
        <w:rPr>
          <w:rFonts w:hint="eastAsia"/>
          <w:sz w:val="22"/>
          <w:szCs w:val="28"/>
        </w:rPr>
        <w:t>F</w:t>
      </w:r>
      <w:r>
        <w:rPr>
          <w:sz w:val="22"/>
          <w:szCs w:val="28"/>
        </w:rPr>
        <w:t>ig.</w:t>
      </w:r>
      <w:r>
        <w:rPr>
          <w:rFonts w:hint="eastAsia"/>
          <w:sz w:val="22"/>
          <w:szCs w:val="28"/>
          <w:lang w:val="en-US" w:eastAsia="zh-CN"/>
        </w:rPr>
        <w:t xml:space="preserve"> </w:t>
      </w:r>
      <w:r>
        <w:rPr>
          <w:sz w:val="22"/>
          <w:szCs w:val="28"/>
        </w:rPr>
        <w:t>S</w:t>
      </w:r>
      <w:r>
        <w:rPr>
          <w:rFonts w:hint="eastAsia"/>
          <w:sz w:val="22"/>
          <w:szCs w:val="28"/>
          <w:lang w:val="en-US" w:eastAsia="zh-CN"/>
        </w:rPr>
        <w:t xml:space="preserve">6 miR-1298-5p could inhibit glioma proliferation and promote the immune suppressive ability of MDSCs  </w:t>
      </w:r>
      <w:r>
        <w:rPr>
          <w:sz w:val="22"/>
          <w:szCs w:val="28"/>
        </w:rPr>
        <w:t>(a) mi</w:t>
      </w:r>
      <w:r>
        <w:rPr>
          <w:rFonts w:hint="eastAsia"/>
          <w:sz w:val="22"/>
          <w:szCs w:val="28"/>
        </w:rPr>
        <w:t>R-</w:t>
      </w:r>
      <w:r>
        <w:rPr>
          <w:sz w:val="22"/>
          <w:szCs w:val="28"/>
        </w:rPr>
        <w:t>1298</w:t>
      </w:r>
      <w:r>
        <w:rPr>
          <w:rFonts w:hint="eastAsia"/>
          <w:sz w:val="22"/>
          <w:szCs w:val="28"/>
        </w:rPr>
        <w:t>-</w:t>
      </w:r>
      <w:r>
        <w:rPr>
          <w:sz w:val="22"/>
          <w:szCs w:val="28"/>
        </w:rPr>
        <w:t>5</w:t>
      </w:r>
      <w:r>
        <w:rPr>
          <w:rFonts w:hint="eastAsia"/>
          <w:sz w:val="22"/>
          <w:szCs w:val="28"/>
        </w:rPr>
        <w:t>p</w:t>
      </w:r>
      <w:r>
        <w:rPr>
          <w:sz w:val="22"/>
          <w:szCs w:val="28"/>
        </w:rPr>
        <w:t xml:space="preserve"> </w:t>
      </w:r>
      <w:r>
        <w:rPr>
          <w:rFonts w:hint="eastAsia"/>
          <w:sz w:val="22"/>
          <w:szCs w:val="28"/>
        </w:rPr>
        <w:t>was</w:t>
      </w:r>
      <w:r>
        <w:rPr>
          <w:sz w:val="22"/>
          <w:szCs w:val="28"/>
        </w:rPr>
        <w:t xml:space="preserve"> </w:t>
      </w:r>
      <w:r>
        <w:rPr>
          <w:rFonts w:hint="eastAsia"/>
          <w:sz w:val="22"/>
          <w:szCs w:val="28"/>
        </w:rPr>
        <w:t>reduced</w:t>
      </w:r>
      <w:r>
        <w:rPr>
          <w:sz w:val="22"/>
          <w:szCs w:val="28"/>
        </w:rPr>
        <w:t xml:space="preserve"> </w:t>
      </w:r>
      <w:r>
        <w:rPr>
          <w:rFonts w:hint="eastAsia"/>
          <w:sz w:val="22"/>
          <w:szCs w:val="28"/>
        </w:rPr>
        <w:t>in</w:t>
      </w:r>
      <w:r>
        <w:rPr>
          <w:sz w:val="22"/>
          <w:szCs w:val="28"/>
        </w:rPr>
        <w:t xml:space="preserve"> </w:t>
      </w:r>
      <w:r>
        <w:rPr>
          <w:rFonts w:hint="eastAsia"/>
          <w:sz w:val="22"/>
          <w:szCs w:val="28"/>
        </w:rPr>
        <w:t>U87M</w:t>
      </w:r>
      <w:r>
        <w:rPr>
          <w:sz w:val="22"/>
          <w:szCs w:val="28"/>
        </w:rPr>
        <w:t>G, U251, LN229 and P3, compared with NHA. (b, c) Kaplan–Meier survival curves of patients with high and low miR-1298-5p expression in glioma, according to the TCGA and CGGA databases. P-value was obtained by log-rank t-test. (d) miR-1298-5p overexpression efficiency using lentivirus stably transfected in U87MG cells. (e, f) Protein levels of Ki67 and PCNA in xenograft sections from miR-1298-5p overexpressing or negative control U87MG cell tissues were determined by IHC staining.(scale bar, 100 µm)</w:t>
      </w:r>
      <w:r>
        <w:rPr>
          <w:rFonts w:hint="eastAsia"/>
          <w:sz w:val="22"/>
          <w:szCs w:val="28"/>
          <w:lang w:val="en-US" w:eastAsia="zh-CN"/>
        </w:rPr>
        <w:t xml:space="preserve"> </w:t>
      </w:r>
      <w:r>
        <w:rPr>
          <w:sz w:val="22"/>
          <w:szCs w:val="28"/>
        </w:rPr>
        <w:t xml:space="preserve">(g) Predict the target genes of miR-1298-5p in glioma using miRDB and Starbase. (h, i) The expression of </w:t>
      </w:r>
      <w:r>
        <w:rPr>
          <w:rFonts w:hint="eastAsia"/>
          <w:sz w:val="22"/>
          <w:szCs w:val="28"/>
          <w:lang w:eastAsia="zh-CN"/>
        </w:rPr>
        <w:t>SETD7</w:t>
      </w:r>
      <w:r>
        <w:rPr>
          <w:sz w:val="22"/>
          <w:szCs w:val="28"/>
        </w:rPr>
        <w:t xml:space="preserve"> in U87MG and U251 transfected with miR-1298-5p and miR-NC was examined by qRT-PCR and western blot. (j, k) </w:t>
      </w:r>
      <w:r>
        <w:rPr>
          <w:rFonts w:hint="eastAsia"/>
          <w:sz w:val="22"/>
          <w:szCs w:val="28"/>
          <w:lang w:eastAsia="zh-CN"/>
        </w:rPr>
        <w:t>SETD7</w:t>
      </w:r>
      <w:r>
        <w:rPr>
          <w:sz w:val="22"/>
          <w:szCs w:val="28"/>
        </w:rPr>
        <w:t xml:space="preserve"> expression in U87MG and U251 transfected with si-NC and si-</w:t>
      </w:r>
      <w:r>
        <w:rPr>
          <w:rFonts w:hint="eastAsia"/>
          <w:sz w:val="22"/>
          <w:szCs w:val="28"/>
          <w:lang w:eastAsia="zh-CN"/>
        </w:rPr>
        <w:t>SETD7</w:t>
      </w:r>
      <w:r>
        <w:rPr>
          <w:sz w:val="22"/>
          <w:szCs w:val="28"/>
        </w:rPr>
        <w:t xml:space="preserve"> was examined by qRT-PCR. (l, m) The expression of MSH2 in MDSCs transfected with miR-1298-5p and miR-NC was examined by qRT-PCR and western blot. (n) MSH2 expression in MDSCs transfected with si-NC and si-MSH2 was examined by qRT-PCR. (o, p) qRT-PCR demonstrated that </w:t>
      </w:r>
      <w:r>
        <w:rPr>
          <w:rFonts w:hint="eastAsia"/>
          <w:sz w:val="22"/>
          <w:szCs w:val="28"/>
          <w:lang w:val="en-US" w:eastAsia="zh-CN"/>
        </w:rPr>
        <w:t>MSH2</w:t>
      </w:r>
      <w:r>
        <w:rPr>
          <w:sz w:val="22"/>
          <w:szCs w:val="28"/>
        </w:rPr>
        <w:t xml:space="preserve"> increased the expression of NOS2 and TGF-</w:t>
      </w:r>
      <w:r>
        <w:rPr>
          <w:rFonts w:hint="eastAsia"/>
          <w:sz w:val="22"/>
          <w:szCs w:val="28"/>
        </w:rPr>
        <w:t>β in</w:t>
      </w:r>
      <w:r>
        <w:rPr>
          <w:sz w:val="22"/>
          <w:szCs w:val="28"/>
        </w:rPr>
        <w:t xml:space="preserve"> MDSCs.</w:t>
      </w:r>
      <w:r>
        <w:rPr>
          <w:rFonts w:hint="eastAsia"/>
          <w:sz w:val="22"/>
          <w:szCs w:val="28"/>
          <w:lang w:val="en-US" w:eastAsia="zh-CN"/>
        </w:rPr>
        <w:t xml:space="preserve"> </w:t>
      </w:r>
      <w:r>
        <w:rPr>
          <w:sz w:val="22"/>
          <w:szCs w:val="28"/>
        </w:rPr>
        <w:t>Data are shown as the mean ± SD of three independent experiments. Statistical significance was determined using one-way ANOVA test (*, P &lt; 0.05; **, P &lt; 0.01</w:t>
      </w:r>
      <w:r>
        <w:rPr>
          <w:rFonts w:hint="eastAsia"/>
          <w:sz w:val="22"/>
          <w:szCs w:val="28"/>
        </w:rPr>
        <w:t>;</w:t>
      </w:r>
      <w:r>
        <w:rPr>
          <w:sz w:val="22"/>
          <w:szCs w:val="28"/>
        </w:rPr>
        <w:t xml:space="preserve"> ***, P &lt; 0.001).</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73675" cy="3916680"/>
            <wp:effectExtent l="0" t="0" r="5080" b="1905"/>
            <wp:docPr id="9" name="图片 9" descr="figure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S7"/>
                    <pic:cNvPicPr>
                      <a:picLocks noChangeAspect="1"/>
                    </pic:cNvPicPr>
                  </pic:nvPicPr>
                  <pic:blipFill>
                    <a:blip r:embed="rId10"/>
                    <a:stretch>
                      <a:fillRect/>
                    </a:stretch>
                  </pic:blipFill>
                  <pic:spPr>
                    <a:xfrm>
                      <a:off x="0" y="0"/>
                      <a:ext cx="5273675" cy="3916680"/>
                    </a:xfrm>
                    <a:prstGeom prst="rect">
                      <a:avLst/>
                    </a:prstGeom>
                  </pic:spPr>
                </pic:pic>
              </a:graphicData>
            </a:graphic>
          </wp:inline>
        </w:drawing>
      </w:r>
    </w:p>
    <w:p>
      <w:pPr>
        <w:rPr>
          <w:sz w:val="22"/>
          <w:szCs w:val="28"/>
        </w:rPr>
      </w:pPr>
      <w:r>
        <w:rPr>
          <w:rFonts w:hint="eastAsia"/>
          <w:sz w:val="22"/>
          <w:szCs w:val="28"/>
        </w:rPr>
        <w:t>F</w:t>
      </w:r>
      <w:r>
        <w:rPr>
          <w:sz w:val="22"/>
          <w:szCs w:val="28"/>
        </w:rPr>
        <w:t>ig. S</w:t>
      </w:r>
      <w:r>
        <w:rPr>
          <w:rFonts w:hint="eastAsia"/>
          <w:sz w:val="22"/>
          <w:szCs w:val="28"/>
          <w:lang w:val="en-US" w:eastAsia="zh-CN"/>
        </w:rPr>
        <w:t>7</w:t>
      </w:r>
      <w:r>
        <w:rPr>
          <w:sz w:val="22"/>
          <w:szCs w:val="28"/>
        </w:rPr>
        <w:t xml:space="preserve"> Characterization of glioma exosomes and phagocytosis of glioma exosomes by MDSCs.</w:t>
      </w:r>
    </w:p>
    <w:p>
      <w:pPr>
        <w:rPr>
          <w:sz w:val="22"/>
          <w:szCs w:val="28"/>
        </w:rPr>
      </w:pPr>
      <w:r>
        <w:rPr>
          <w:sz w:val="22"/>
          <w:szCs w:val="28"/>
        </w:rPr>
        <w:t xml:space="preserve">(a) Representative transmission electron micrograph of exosomes isolated from culture supernatants of the glioma cell lines U87MG </w:t>
      </w:r>
      <w:r>
        <w:rPr>
          <w:rFonts w:hint="eastAsia"/>
          <w:sz w:val="22"/>
          <w:szCs w:val="28"/>
        </w:rPr>
        <w:t>and</w:t>
      </w:r>
      <w:r>
        <w:rPr>
          <w:sz w:val="22"/>
          <w:szCs w:val="28"/>
        </w:rPr>
        <w:t xml:space="preserve"> P3.</w:t>
      </w:r>
      <w:r>
        <w:rPr>
          <w:rFonts w:hint="eastAsia"/>
          <w:sz w:val="22"/>
          <w:szCs w:val="28"/>
          <w:lang w:val="en-US" w:eastAsia="zh-CN"/>
        </w:rPr>
        <w:t xml:space="preserve"> </w:t>
      </w:r>
      <w:r>
        <w:rPr>
          <w:sz w:val="22"/>
          <w:szCs w:val="28"/>
        </w:rPr>
        <w:t>(Scale bar, 100 nm)</w:t>
      </w:r>
      <w:r>
        <w:rPr>
          <w:rFonts w:hint="eastAsia"/>
          <w:sz w:val="22"/>
          <w:szCs w:val="28"/>
          <w:lang w:val="en-US" w:eastAsia="zh-CN"/>
        </w:rPr>
        <w:t xml:space="preserve"> </w:t>
      </w:r>
      <w:r>
        <w:rPr>
          <w:sz w:val="22"/>
          <w:szCs w:val="28"/>
        </w:rPr>
        <w:t xml:space="preserve">(b) Exosome concentration and size distribution by qNano analysis. (c) Representative images by confocal </w:t>
      </w:r>
      <w:bookmarkStart w:id="2" w:name="_GoBack"/>
      <w:bookmarkEnd w:id="2"/>
      <w:r>
        <w:rPr>
          <w:sz w:val="22"/>
          <w:szCs w:val="28"/>
        </w:rPr>
        <w:t>microscopy of the internalization of PKH67-labeled glioma exosomes (green) by MDSCs. (d) Western blot analysis of the presence of TSG101 and the absence of calnexin in GDEs. (e, f) hnRNPA2B1 expression in U87MG transfected with si-NC and si-SETD7 was examined by qRT-PCR and western blot. (g, h) hnRNPA2B1 was knocked down in U87MG. Internalization of</w:t>
      </w:r>
      <w:r>
        <w:rPr>
          <w:rFonts w:hint="eastAsia"/>
          <w:sz w:val="22"/>
          <w:szCs w:val="28"/>
        </w:rPr>
        <w:t xml:space="preserve"> </w:t>
      </w:r>
      <w:r>
        <w:rPr>
          <w:sz w:val="22"/>
          <w:szCs w:val="28"/>
        </w:rPr>
        <w:t>Cy3-labeled miR-1298-5p by MDSCs was assessed by flow</w:t>
      </w:r>
      <w:r>
        <w:rPr>
          <w:rFonts w:hint="eastAsia"/>
          <w:sz w:val="22"/>
          <w:szCs w:val="28"/>
        </w:rPr>
        <w:t xml:space="preserve"> </w:t>
      </w:r>
      <w:r>
        <w:rPr>
          <w:sz w:val="22"/>
          <w:szCs w:val="28"/>
        </w:rPr>
        <w:t>cytometry after coculture for 24 hours.</w:t>
      </w:r>
      <w:r>
        <w:rPr>
          <w:rFonts w:hint="eastAsia"/>
          <w:sz w:val="22"/>
          <w:szCs w:val="28"/>
        </w:rPr>
        <w:t xml:space="preserve"> </w:t>
      </w:r>
      <w:r>
        <w:rPr>
          <w:sz w:val="22"/>
          <w:szCs w:val="28"/>
        </w:rPr>
        <w:t>Data are shown as the mean ± SD of three independent experiments. Statistical significance was determined using one-way ANOVA test (*, P &lt; 0.05; **, P &lt; 0.01</w:t>
      </w:r>
      <w:r>
        <w:rPr>
          <w:rFonts w:hint="eastAsia"/>
          <w:sz w:val="22"/>
          <w:szCs w:val="28"/>
        </w:rPr>
        <w:t>;</w:t>
      </w:r>
      <w:r>
        <w:rPr>
          <w:sz w:val="22"/>
          <w:szCs w:val="28"/>
        </w:rPr>
        <w:t xml:space="preserve"> ***, P &lt; 0.001).</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69230" cy="6202680"/>
            <wp:effectExtent l="0" t="0" r="9525" b="4445"/>
            <wp:docPr id="10" name="图片 10" descr="figure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S8"/>
                    <pic:cNvPicPr>
                      <a:picLocks noChangeAspect="1"/>
                    </pic:cNvPicPr>
                  </pic:nvPicPr>
                  <pic:blipFill>
                    <a:blip r:embed="rId11"/>
                    <a:stretch>
                      <a:fillRect/>
                    </a:stretch>
                  </pic:blipFill>
                  <pic:spPr>
                    <a:xfrm>
                      <a:off x="0" y="0"/>
                      <a:ext cx="5269230" cy="6202680"/>
                    </a:xfrm>
                    <a:prstGeom prst="rect">
                      <a:avLst/>
                    </a:prstGeom>
                  </pic:spPr>
                </pic:pic>
              </a:graphicData>
            </a:graphic>
          </wp:inline>
        </w:drawing>
      </w:r>
    </w:p>
    <w:p>
      <w:pPr>
        <w:rPr>
          <w:rFonts w:hint="eastAsia"/>
          <w:sz w:val="22"/>
          <w:szCs w:val="28"/>
        </w:rPr>
      </w:pPr>
    </w:p>
    <w:p>
      <w:pPr>
        <w:rPr>
          <w:sz w:val="22"/>
          <w:szCs w:val="28"/>
        </w:rPr>
      </w:pPr>
      <w:r>
        <w:rPr>
          <w:rFonts w:hint="eastAsia"/>
          <w:sz w:val="22"/>
          <w:szCs w:val="28"/>
        </w:rPr>
        <w:t>F</w:t>
      </w:r>
      <w:r>
        <w:rPr>
          <w:sz w:val="22"/>
          <w:szCs w:val="28"/>
        </w:rPr>
        <w:t>ig. S</w:t>
      </w:r>
      <w:r>
        <w:rPr>
          <w:rFonts w:hint="eastAsia"/>
          <w:sz w:val="22"/>
          <w:szCs w:val="28"/>
          <w:lang w:val="en-US" w:eastAsia="zh-CN"/>
        </w:rPr>
        <w:t xml:space="preserve">8 </w:t>
      </w:r>
      <w:r>
        <w:rPr>
          <w:sz w:val="22"/>
          <w:szCs w:val="28"/>
        </w:rPr>
        <w:t>miR-9-5p could promote glioma cell proliferation, migration and invasion and induce macrophage M1 polarization</w:t>
      </w:r>
    </w:p>
    <w:p>
      <w:pPr>
        <w:rPr>
          <w:sz w:val="22"/>
          <w:szCs w:val="28"/>
        </w:rPr>
      </w:pPr>
      <w:r>
        <w:rPr>
          <w:rFonts w:hint="eastAsia"/>
          <w:sz w:val="22"/>
          <w:szCs w:val="28"/>
        </w:rPr>
        <w:t>(</w:t>
      </w:r>
      <w:r>
        <w:rPr>
          <w:sz w:val="22"/>
          <w:szCs w:val="28"/>
        </w:rPr>
        <w:t xml:space="preserve">a, b) </w:t>
      </w:r>
      <w:r>
        <w:rPr>
          <w:rFonts w:hint="eastAsia"/>
          <w:sz w:val="22"/>
          <w:szCs w:val="28"/>
        </w:rPr>
        <w:t>The</w:t>
      </w:r>
      <w:r>
        <w:rPr>
          <w:sz w:val="22"/>
          <w:szCs w:val="28"/>
        </w:rPr>
        <w:t xml:space="preserve"> wound-healing assay was used to</w:t>
      </w:r>
      <w:r>
        <w:rPr>
          <w:rFonts w:hint="eastAsia"/>
          <w:sz w:val="22"/>
          <w:szCs w:val="28"/>
        </w:rPr>
        <w:t xml:space="preserve"> </w:t>
      </w:r>
      <w:r>
        <w:rPr>
          <w:sz w:val="22"/>
          <w:szCs w:val="28"/>
        </w:rPr>
        <w:t>assess the migration of U87MG and U251 transfected with miR-NC and miR-1298-5p mimics. Photos were taken at 0, 24h, respectively. (c, d) Non-coated transwell and Matrigel-coated transwell assays were used to determine the migration and invasion capacity of U87MG and U251 transfected with miR-NC and miR-1298-5p mimics. (e-g) The proliferation ability of U87MG and U251 was determined by the Edu assay and CCK8 assay. (h) qRT-PCR demonstrated that miR-1298-5p increased the expression of IL-6 and TNF-</w:t>
      </w:r>
      <w:r>
        <w:rPr>
          <w:rFonts w:hint="eastAsia"/>
          <w:sz w:val="22"/>
          <w:szCs w:val="28"/>
        </w:rPr>
        <w:t>α and</w:t>
      </w:r>
      <w:r>
        <w:rPr>
          <w:sz w:val="22"/>
          <w:szCs w:val="28"/>
        </w:rPr>
        <w:t xml:space="preserve"> </w:t>
      </w:r>
      <w:r>
        <w:rPr>
          <w:rFonts w:hint="eastAsia"/>
          <w:sz w:val="22"/>
          <w:szCs w:val="28"/>
        </w:rPr>
        <w:t>reduced</w:t>
      </w:r>
      <w:r>
        <w:rPr>
          <w:sz w:val="22"/>
          <w:szCs w:val="28"/>
        </w:rPr>
        <w:t xml:space="preserve"> </w:t>
      </w:r>
      <w:r>
        <w:rPr>
          <w:rFonts w:hint="eastAsia"/>
          <w:sz w:val="22"/>
          <w:szCs w:val="28"/>
        </w:rPr>
        <w:t>the</w:t>
      </w:r>
      <w:r>
        <w:rPr>
          <w:sz w:val="22"/>
          <w:szCs w:val="28"/>
        </w:rPr>
        <w:t xml:space="preserve"> </w:t>
      </w:r>
      <w:r>
        <w:rPr>
          <w:rFonts w:hint="eastAsia"/>
          <w:sz w:val="22"/>
          <w:szCs w:val="28"/>
        </w:rPr>
        <w:t>level</w:t>
      </w:r>
      <w:r>
        <w:rPr>
          <w:sz w:val="22"/>
          <w:szCs w:val="28"/>
        </w:rPr>
        <w:t xml:space="preserve"> </w:t>
      </w:r>
      <w:r>
        <w:rPr>
          <w:rFonts w:hint="eastAsia"/>
          <w:sz w:val="22"/>
          <w:szCs w:val="28"/>
        </w:rPr>
        <w:t>of</w:t>
      </w:r>
      <w:r>
        <w:rPr>
          <w:sz w:val="22"/>
          <w:szCs w:val="28"/>
        </w:rPr>
        <w:t xml:space="preserve"> </w:t>
      </w:r>
      <w:r>
        <w:rPr>
          <w:rFonts w:hint="eastAsia"/>
          <w:sz w:val="22"/>
          <w:szCs w:val="28"/>
        </w:rPr>
        <w:t>CD</w:t>
      </w:r>
      <w:r>
        <w:rPr>
          <w:sz w:val="22"/>
          <w:szCs w:val="28"/>
        </w:rPr>
        <w:t xml:space="preserve">163 </w:t>
      </w:r>
      <w:r>
        <w:rPr>
          <w:rFonts w:hint="eastAsia"/>
          <w:sz w:val="22"/>
          <w:szCs w:val="28"/>
        </w:rPr>
        <w:t>and</w:t>
      </w:r>
      <w:r>
        <w:rPr>
          <w:sz w:val="22"/>
          <w:szCs w:val="28"/>
        </w:rPr>
        <w:t xml:space="preserve"> </w:t>
      </w:r>
      <w:r>
        <w:rPr>
          <w:rFonts w:hint="eastAsia"/>
          <w:sz w:val="22"/>
          <w:szCs w:val="28"/>
        </w:rPr>
        <w:t>IL-</w:t>
      </w:r>
      <w:r>
        <w:rPr>
          <w:sz w:val="22"/>
          <w:szCs w:val="28"/>
        </w:rPr>
        <w:t xml:space="preserve">10 </w:t>
      </w:r>
      <w:r>
        <w:rPr>
          <w:rFonts w:hint="eastAsia"/>
          <w:sz w:val="22"/>
          <w:szCs w:val="28"/>
        </w:rPr>
        <w:t>in</w:t>
      </w:r>
      <w:r>
        <w:rPr>
          <w:sz w:val="22"/>
          <w:szCs w:val="28"/>
        </w:rPr>
        <w:t xml:space="preserve"> </w:t>
      </w:r>
      <w:r>
        <w:rPr>
          <w:rFonts w:hint="eastAsia"/>
          <w:sz w:val="22"/>
          <w:szCs w:val="28"/>
        </w:rPr>
        <w:t>THP1</w:t>
      </w:r>
      <w:r>
        <w:rPr>
          <w:sz w:val="22"/>
          <w:szCs w:val="28"/>
        </w:rPr>
        <w:t>.</w:t>
      </w:r>
      <w:r>
        <w:rPr>
          <w:rFonts w:hint="eastAsia"/>
          <w:sz w:val="22"/>
          <w:szCs w:val="28"/>
        </w:rPr>
        <w:t xml:space="preserve"> </w:t>
      </w:r>
      <w:r>
        <w:rPr>
          <w:sz w:val="22"/>
          <w:szCs w:val="28"/>
        </w:rPr>
        <w:t>Data are shown as the mean ± SD of three independent experiments. Statistical significance was determined using one-way ANOVA test (*, P &lt; 0.05; **, P &lt; 0.01</w:t>
      </w:r>
      <w:r>
        <w:rPr>
          <w:rFonts w:hint="eastAsia"/>
          <w:sz w:val="22"/>
          <w:szCs w:val="28"/>
        </w:rPr>
        <w:t>;</w:t>
      </w:r>
      <w:r>
        <w:rPr>
          <w:sz w:val="22"/>
          <w:szCs w:val="28"/>
        </w:rPr>
        <w:t xml:space="preserve"> ***, P &lt; 0.001).</w:t>
      </w:r>
    </w:p>
    <w:p>
      <w:pPr>
        <w:rPr>
          <w:rFonts w:hint="eastAsia" w:eastAsiaTheme="minorEastAsia"/>
          <w:sz w:val="22"/>
          <w:szCs w:val="28"/>
          <w:lang w:eastAsia="zh-CN"/>
        </w:rPr>
      </w:pPr>
      <w:r>
        <w:rPr>
          <w:rFonts w:hint="eastAsia" w:eastAsiaTheme="minorEastAsia"/>
          <w:sz w:val="22"/>
          <w:szCs w:val="28"/>
          <w:lang w:eastAsia="zh-CN"/>
        </w:rPr>
        <w:drawing>
          <wp:inline distT="0" distB="0" distL="114300" distR="114300">
            <wp:extent cx="5273675" cy="7617460"/>
            <wp:effectExtent l="0" t="0" r="5080" b="3810"/>
            <wp:docPr id="11" name="图片 11" descr="figure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S9"/>
                    <pic:cNvPicPr>
                      <a:picLocks noChangeAspect="1"/>
                    </pic:cNvPicPr>
                  </pic:nvPicPr>
                  <pic:blipFill>
                    <a:blip r:embed="rId12"/>
                    <a:stretch>
                      <a:fillRect/>
                    </a:stretch>
                  </pic:blipFill>
                  <pic:spPr>
                    <a:xfrm>
                      <a:off x="0" y="0"/>
                      <a:ext cx="5273675" cy="7617460"/>
                    </a:xfrm>
                    <a:prstGeom prst="rect">
                      <a:avLst/>
                    </a:prstGeom>
                  </pic:spPr>
                </pic:pic>
              </a:graphicData>
            </a:graphic>
          </wp:inline>
        </w:drawing>
      </w:r>
    </w:p>
    <w:p>
      <w:pPr>
        <w:rPr>
          <w:rFonts w:hint="eastAsia"/>
          <w:sz w:val="22"/>
          <w:szCs w:val="28"/>
          <w:lang w:val="en-US" w:eastAsia="zh-CN"/>
        </w:rPr>
      </w:pPr>
      <w:r>
        <w:rPr>
          <w:rFonts w:hint="eastAsia"/>
          <w:sz w:val="22"/>
          <w:szCs w:val="28"/>
        </w:rPr>
        <w:t>F</w:t>
      </w:r>
      <w:r>
        <w:rPr>
          <w:sz w:val="22"/>
          <w:szCs w:val="28"/>
        </w:rPr>
        <w:t>ig. S</w:t>
      </w:r>
      <w:r>
        <w:rPr>
          <w:rFonts w:hint="eastAsia"/>
          <w:sz w:val="22"/>
          <w:szCs w:val="28"/>
          <w:lang w:val="en-US" w:eastAsia="zh-CN"/>
        </w:rPr>
        <w:t>9</w:t>
      </w:r>
      <w:r>
        <w:rPr>
          <w:sz w:val="22"/>
          <w:szCs w:val="28"/>
        </w:rPr>
        <w:t xml:space="preserve"> </w:t>
      </w:r>
      <w:r>
        <w:rPr>
          <w:sz w:val="22"/>
          <w:szCs w:val="28"/>
          <w:lang w:val="en-GB"/>
        </w:rPr>
        <w:t>CSF sEV miRNAs</w:t>
      </w:r>
      <w:r>
        <w:rPr>
          <w:rFonts w:hint="eastAsia"/>
          <w:sz w:val="22"/>
          <w:szCs w:val="28"/>
          <w:lang w:val="en-US" w:eastAsia="zh-CN"/>
        </w:rPr>
        <w:t xml:space="preserve"> induced macrophage M2 polarization </w:t>
      </w:r>
    </w:p>
    <w:p>
      <w:pPr>
        <w:rPr>
          <w:sz w:val="22"/>
          <w:szCs w:val="28"/>
        </w:rPr>
      </w:pPr>
      <w:r>
        <w:rPr>
          <w:rFonts w:hint="eastAsia"/>
          <w:sz w:val="22"/>
          <w:szCs w:val="28"/>
          <w:lang w:val="en-US" w:eastAsia="zh-CN"/>
        </w:rPr>
        <w:t xml:space="preserve">(a) </w:t>
      </w:r>
      <w:r>
        <w:rPr>
          <w:sz w:val="22"/>
          <w:szCs w:val="28"/>
        </w:rPr>
        <w:t xml:space="preserve">The flow cytometry charts of </w:t>
      </w:r>
      <w:r>
        <w:rPr>
          <w:rFonts w:hint="eastAsia"/>
          <w:sz w:val="22"/>
          <w:szCs w:val="28"/>
          <w:lang w:val="en-US" w:eastAsia="zh-CN"/>
        </w:rPr>
        <w:t>b</w:t>
      </w:r>
      <w:r>
        <w:rPr>
          <w:sz w:val="22"/>
          <w:szCs w:val="28"/>
        </w:rPr>
        <w:t xml:space="preserve">. </w:t>
      </w:r>
      <w:r>
        <w:rPr>
          <w:rFonts w:hint="eastAsia"/>
          <w:sz w:val="22"/>
          <w:szCs w:val="28"/>
          <w:lang w:val="en-US" w:eastAsia="zh-CN"/>
        </w:rPr>
        <w:t>(b)</w:t>
      </w:r>
      <w:r>
        <w:rPr>
          <w:sz w:val="22"/>
          <w:szCs w:val="28"/>
          <w:lang w:val="en-GB"/>
        </w:rPr>
        <w:t xml:space="preserve"> The percentage of CD206+ macrophage in miRNA transfected macrophage. The data shown are the mean±</w:t>
      </w:r>
      <w:r>
        <w:rPr>
          <w:rFonts w:hint="eastAsia"/>
          <w:sz w:val="22"/>
          <w:szCs w:val="28"/>
          <w:lang w:val="en-GB"/>
        </w:rPr>
        <w:t>SEM</w:t>
      </w:r>
      <w:r>
        <w:rPr>
          <w:sz w:val="22"/>
          <w:szCs w:val="28"/>
          <w:lang w:val="en-GB"/>
        </w:rPr>
        <w:t xml:space="preserve"> of 3 independent experiments. *P&lt; 0.05; **P &lt; 0.01, ***P &lt; 0.001. Student’s t test.</w:t>
      </w:r>
      <w:r>
        <w:rPr>
          <w:rFonts w:hint="eastAsia"/>
          <w:sz w:val="22"/>
          <w:szCs w:val="28"/>
          <w:lang w:val="en-US" w:eastAsia="zh-CN"/>
        </w:rPr>
        <w:t xml:space="preserve"> </w:t>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D13881"/>
    <w:rsid w:val="2C611057"/>
    <w:rsid w:val="77306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2021-04-29T08:14:00Z</dcterms:created>
  <dc:creator>86178</dc:creator>
  <cp:lastModifiedBy>WPS_1615178187</cp:lastModifiedBy>
  <dcterms:modified xsi:type="dcterms:W3CDTF">2021-06-30T08:52:54Z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0CFB5CE169574367A84187B33AC1BEDD</vt:lpwstr>
  </property>
</Properties>
</file>