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1DB" w:rsidRDefault="003951DB" w:rsidP="003951DB">
      <w:pPr>
        <w:rPr>
          <w:rFonts w:ascii="Palatino Linotype" w:eastAsia="宋体" w:hAnsi="Palatino Linotype" w:cs="Times New Roman"/>
          <w:sz w:val="22"/>
        </w:rPr>
      </w:pPr>
      <w:r>
        <w:rPr>
          <w:rFonts w:ascii="Palatino Linotype" w:eastAsia="宋体" w:hAnsi="Palatino Linotype" w:cs="Times New Roman" w:hint="eastAsia"/>
          <w:sz w:val="22"/>
        </w:rPr>
        <w:t>A</w:t>
      </w:r>
      <w:r>
        <w:rPr>
          <w:rFonts w:ascii="Palatino Linotype" w:eastAsia="宋体" w:hAnsi="Palatino Linotype" w:cs="Times New Roman"/>
          <w:sz w:val="22"/>
        </w:rPr>
        <w:t>ppendix:</w:t>
      </w:r>
    </w:p>
    <w:p w:rsidR="003951DB" w:rsidRPr="0091783B" w:rsidRDefault="003951DB" w:rsidP="003951DB">
      <w:pPr>
        <w:ind w:firstLineChars="200" w:firstLine="442"/>
        <w:rPr>
          <w:rFonts w:ascii="Palatino Linotype" w:eastAsia="宋体" w:hAnsi="Palatino Linotype" w:cs="Times New Roman"/>
          <w:b/>
          <w:bCs/>
          <w:sz w:val="22"/>
        </w:rPr>
      </w:pPr>
      <w:bookmarkStart w:id="0" w:name="OLE_LINK20"/>
      <w:r>
        <w:rPr>
          <w:rFonts w:ascii="Palatino Linotype" w:eastAsia="宋体" w:hAnsi="Palatino Linotype" w:cs="Times New Roman"/>
          <w:b/>
          <w:bCs/>
          <w:sz w:val="22"/>
        </w:rPr>
        <w:t>Table of</w:t>
      </w:r>
      <w:r w:rsidRPr="0091783B">
        <w:rPr>
          <w:rFonts w:ascii="Palatino Linotype" w:eastAsia="宋体" w:hAnsi="Palatino Linotype" w:cs="Times New Roman"/>
          <w:b/>
          <w:bCs/>
          <w:sz w:val="22"/>
        </w:rPr>
        <w:t xml:space="preserve"> </w:t>
      </w:r>
      <w:r>
        <w:rPr>
          <w:rFonts w:ascii="Palatino Linotype" w:eastAsia="宋体" w:hAnsi="Palatino Linotype" w:cs="Times New Roman"/>
          <w:b/>
          <w:bCs/>
          <w:sz w:val="22"/>
        </w:rPr>
        <w:t>t</w:t>
      </w:r>
      <w:r w:rsidRPr="0091783B">
        <w:rPr>
          <w:rFonts w:ascii="Palatino Linotype" w:eastAsia="宋体" w:hAnsi="Palatino Linotype" w:cs="Times New Roman"/>
          <w:b/>
          <w:bCs/>
          <w:sz w:val="22"/>
        </w:rPr>
        <w:t>he classification of policy tools related to the COVID-19 pandemic</w:t>
      </w:r>
    </w:p>
    <w:tbl>
      <w:tblPr>
        <w:tblStyle w:val="1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44"/>
        <w:gridCol w:w="5086"/>
      </w:tblGrid>
      <w:tr w:rsidR="003951DB" w:rsidRPr="0091783B" w:rsidTr="001B2332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:rsidR="003951DB" w:rsidRPr="0091783B" w:rsidRDefault="003951DB" w:rsidP="001B2332">
            <w:pPr>
              <w:ind w:right="240"/>
              <w:jc w:val="center"/>
              <w:rPr>
                <w:rFonts w:ascii="Palatino Linotype" w:eastAsia="宋体" w:hAnsi="Palatino Linotype" w:cs="Times New Roman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sz w:val="16"/>
                <w:szCs w:val="16"/>
              </w:rPr>
              <w:t>Policy categories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1DB" w:rsidRPr="0091783B" w:rsidRDefault="003951DB" w:rsidP="001B2332">
            <w:pPr>
              <w:ind w:right="240"/>
              <w:jc w:val="center"/>
              <w:rPr>
                <w:rFonts w:ascii="Palatino Linotype" w:eastAsia="宋体" w:hAnsi="Palatino Linotype" w:cs="Times New Roman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sz w:val="16"/>
                <w:szCs w:val="16"/>
              </w:rPr>
              <w:t>Dimensions</w:t>
            </w:r>
          </w:p>
        </w:tc>
        <w:tc>
          <w:tcPr>
            <w:tcW w:w="5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1DB" w:rsidRPr="0091783B" w:rsidRDefault="003951DB" w:rsidP="001B2332">
            <w:pPr>
              <w:ind w:right="240"/>
              <w:jc w:val="center"/>
              <w:rPr>
                <w:rFonts w:ascii="Palatino Linotype" w:eastAsia="宋体" w:hAnsi="Palatino Linotype" w:cs="Times New Roman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sz w:val="16"/>
                <w:szCs w:val="16"/>
              </w:rPr>
              <w:t>Connotation of index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Service-oriented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Emergency prevention</w:t>
            </w:r>
            <w:r w:rsidRPr="0091783B">
              <w:t xml:space="preserve"> </w:t>
            </w: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and control</w:t>
            </w:r>
          </w:p>
        </w:tc>
        <w:tc>
          <w:tcPr>
            <w:tcW w:w="508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Government departments provide emergency support and joint prevention and control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Party and government responsibilities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Hold political position, adhere to the leadership of the party and government, and fulfill responsibilities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Material support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Guarantee the supply of infection prevention supplies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Technical support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Provide testing equipment and expert guidance</w:t>
            </w:r>
          </w:p>
        </w:tc>
      </w:tr>
      <w:tr w:rsidR="003951DB" w:rsidRPr="0091783B" w:rsidTr="001B2332">
        <w:trPr>
          <w:trHeight w:val="300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Human resources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Protect the employment of enterprises and safeguard the rights and interests of workers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Service support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Medical security, legal consultation, traffic security, assistance, and online office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 w:val="restart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Information-oriented</w:t>
            </w: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Case publicity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Positive publicity for typical cases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Prevention guidelines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Strengthen prevention guidance and formulate a resumption plan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Information transmission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Strengthen publicity and publish relevant information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 w:val="restart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Economy-oriented</w:t>
            </w: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Consumption promotion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Issuing consumption coupons, opening night markets, etc.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Trade support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Provide proof of force majeure, booth fee subsidy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Government procurement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Increase government purchases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Financial support</w:t>
            </w:r>
          </w:p>
        </w:tc>
        <w:tc>
          <w:tcPr>
            <w:tcW w:w="5086" w:type="dxa"/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 xml:space="preserve">Financial support through subsidies and tax relief 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bottom w:val="nil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bottom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Financial support</w:t>
            </w:r>
          </w:p>
        </w:tc>
        <w:tc>
          <w:tcPr>
            <w:tcW w:w="5086" w:type="dxa"/>
            <w:tcBorders>
              <w:bottom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Financial support for enterprises through insurance, guarantees, financing, loans, etc.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Regulation-oriented</w:t>
            </w:r>
          </w:p>
        </w:tc>
        <w:tc>
          <w:tcPr>
            <w:tcW w:w="1944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Action control</w:t>
            </w:r>
          </w:p>
        </w:tc>
        <w:tc>
          <w:tcPr>
            <w:tcW w:w="5086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Health declaration, use of health code, daily temperature measurement, disinfection, and mask code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top w:val="nil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Location control</w:t>
            </w:r>
          </w:p>
        </w:tc>
        <w:tc>
          <w:tcPr>
            <w:tcW w:w="5086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Cancel gathering activities and relevant control policies for schools and public places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top w:val="nil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Traffic control</w:t>
            </w:r>
          </w:p>
        </w:tc>
        <w:tc>
          <w:tcPr>
            <w:tcW w:w="5086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Road closure, notifications, and other regulatory measures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top w:val="nil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Medical isolation</w:t>
            </w:r>
          </w:p>
        </w:tc>
        <w:tc>
          <w:tcPr>
            <w:tcW w:w="5086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Relevant instructions for troubleshooting and isolation of key personnel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top w:val="nil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Market supervision</w:t>
            </w:r>
          </w:p>
        </w:tc>
        <w:tc>
          <w:tcPr>
            <w:tcW w:w="5086" w:type="dxa"/>
            <w:tcBorders>
              <w:top w:val="nil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Market supply guarantee, supervision, and law enforcement</w:t>
            </w:r>
          </w:p>
        </w:tc>
      </w:tr>
      <w:tr w:rsidR="003951DB" w:rsidRPr="0091783B" w:rsidTr="001B2332">
        <w:trPr>
          <w:trHeight w:val="276"/>
        </w:trPr>
        <w:tc>
          <w:tcPr>
            <w:tcW w:w="127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Regulatory control</w:t>
            </w:r>
          </w:p>
        </w:tc>
        <w:tc>
          <w:tcPr>
            <w:tcW w:w="508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3951DB" w:rsidRPr="0091783B" w:rsidRDefault="003951DB" w:rsidP="001B2332">
            <w:pPr>
              <w:widowControl/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</w:pPr>
            <w:r w:rsidRPr="0091783B">
              <w:rPr>
                <w:rFonts w:ascii="Palatino Linotype" w:eastAsia="宋体" w:hAnsi="Palatino Linotype" w:cs="Times New Roman"/>
                <w:color w:val="000000"/>
                <w:kern w:val="0"/>
                <w:sz w:val="16"/>
                <w:szCs w:val="16"/>
              </w:rPr>
              <w:t>Supervision for non-cooperative actions</w:t>
            </w:r>
          </w:p>
        </w:tc>
      </w:tr>
    </w:tbl>
    <w:p w:rsidR="003951DB" w:rsidRPr="006E1418" w:rsidRDefault="003951DB" w:rsidP="003951DB">
      <w:pPr>
        <w:rPr>
          <w:rFonts w:ascii="Palatino Linotype" w:eastAsia="宋体" w:hAnsi="Palatino Linotype" w:cs="Times New Roman"/>
          <w:sz w:val="22"/>
        </w:rPr>
      </w:pPr>
    </w:p>
    <w:p w:rsidR="003951DB" w:rsidRDefault="003951DB" w:rsidP="003951DB">
      <w:pPr>
        <w:rPr>
          <w:rFonts w:ascii="Palatino Linotype" w:eastAsia="宋体" w:hAnsi="Palatino Linotype" w:cs="Times New Roman"/>
          <w:b/>
          <w:bCs/>
          <w:sz w:val="22"/>
        </w:rPr>
      </w:pPr>
    </w:p>
    <w:p w:rsidR="00E432CC" w:rsidRPr="003951DB" w:rsidRDefault="00E432CC">
      <w:bookmarkStart w:id="1" w:name="_GoBack"/>
      <w:bookmarkEnd w:id="1"/>
    </w:p>
    <w:sectPr w:rsidR="00E432CC" w:rsidRPr="0039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20" w:rsidRDefault="00066C20" w:rsidP="003951DB">
      <w:r>
        <w:separator/>
      </w:r>
    </w:p>
  </w:endnote>
  <w:endnote w:type="continuationSeparator" w:id="0">
    <w:p w:rsidR="00066C20" w:rsidRDefault="00066C20" w:rsidP="0039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20" w:rsidRDefault="00066C20" w:rsidP="003951DB">
      <w:r>
        <w:separator/>
      </w:r>
    </w:p>
  </w:footnote>
  <w:footnote w:type="continuationSeparator" w:id="0">
    <w:p w:rsidR="00066C20" w:rsidRDefault="00066C20" w:rsidP="00395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64"/>
    <w:rsid w:val="00066C20"/>
    <w:rsid w:val="003951DB"/>
    <w:rsid w:val="00485564"/>
    <w:rsid w:val="00E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12423-7891-4024-86D4-EB798351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1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1DB"/>
    <w:rPr>
      <w:sz w:val="18"/>
      <w:szCs w:val="18"/>
    </w:rPr>
  </w:style>
  <w:style w:type="table" w:customStyle="1" w:styleId="1">
    <w:name w:val="网格型1"/>
    <w:basedOn w:val="a1"/>
    <w:next w:val="a7"/>
    <w:uiPriority w:val="39"/>
    <w:qFormat/>
    <w:rsid w:val="0039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9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wwj</dc:creator>
  <cp:keywords/>
  <dc:description/>
  <cp:lastModifiedBy>wwj</cp:lastModifiedBy>
  <cp:revision>2</cp:revision>
  <dcterms:created xsi:type="dcterms:W3CDTF">2025-06-27T01:52:00Z</dcterms:created>
  <dcterms:modified xsi:type="dcterms:W3CDTF">2025-06-27T01:52:00Z</dcterms:modified>
</cp:coreProperties>
</file>