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3D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/>
          <w:b/>
          <w:bCs/>
          <w:spacing w:val="-1"/>
          <w:lang w:val="en-US" w:eastAsia="zh-CN"/>
        </w:rPr>
      </w:pPr>
      <w:r>
        <w:rPr>
          <w:rFonts w:hint="eastAsia"/>
          <w:b/>
          <w:bCs/>
          <w:spacing w:val="-1"/>
          <w:lang w:val="en-US" w:eastAsia="zh-CN"/>
        </w:rPr>
        <w:t>Materails one</w:t>
      </w:r>
    </w:p>
    <w:p w14:paraId="0AC32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420" w:firstLineChars="0"/>
        <w:jc w:val="both"/>
        <w:textAlignment w:val="baseline"/>
        <w:rPr>
          <w:spacing w:val="-1"/>
        </w:rPr>
      </w:pPr>
      <w:r>
        <w:rPr>
          <w:spacing w:val="-1"/>
        </w:rPr>
        <w:t>MNE package and custom Pytho</w:t>
      </w:r>
      <w:r>
        <w:rPr>
          <w:rFonts w:hint="eastAsia" w:eastAsia="宋体"/>
          <w:spacing w:val="-1"/>
          <w:lang w:val="en-US" w:eastAsia="zh-CN"/>
        </w:rPr>
        <w:t>n</w:t>
      </w:r>
      <w:r>
        <w:rPr>
          <w:spacing w:val="-1"/>
        </w:rPr>
        <w:t xml:space="preserve"> scripts were utilized for pre-processing and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analysis of the EEG data.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To evaluate the performance of SO-detection algorithm,  we summarized the instantaneous phase of SO when each tone was delivered. Firstly,  SO phase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calculated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3"/>
          <w:w w:val="101"/>
        </w:rPr>
        <w:t xml:space="preserve"> </w:t>
      </w:r>
      <w:r>
        <w:rPr>
          <w:spacing w:val="-1"/>
        </w:rPr>
        <w:t>following</w:t>
      </w:r>
      <w:r>
        <w:rPr>
          <w:spacing w:val="33"/>
        </w:rPr>
        <w:t xml:space="preserve"> </w:t>
      </w:r>
      <w:r>
        <w:rPr>
          <w:spacing w:val="-1"/>
        </w:rPr>
        <w:t>processes:</w:t>
      </w:r>
      <w:r>
        <w:rPr>
          <w:spacing w:val="39"/>
          <w:w w:val="101"/>
        </w:rPr>
        <w:t xml:space="preserve"> </w:t>
      </w:r>
      <w:bookmarkStart w:id="3" w:name="_GoBack"/>
      <w:bookmarkEnd w:id="3"/>
      <w:r>
        <w:rPr>
          <w:spacing w:val="-1"/>
        </w:rPr>
        <w:t>EEG</w:t>
      </w:r>
      <w:r>
        <w:rPr>
          <w:spacing w:val="45"/>
        </w:rPr>
        <w:t xml:space="preserve"> </w:t>
      </w:r>
      <w:r>
        <w:rPr>
          <w:spacing w:val="-1"/>
        </w:rPr>
        <w:t>signals</w:t>
      </w:r>
      <w:r>
        <w:rPr>
          <w:spacing w:val="35"/>
        </w:rPr>
        <w:t xml:space="preserve"> </w:t>
      </w:r>
      <w:r>
        <w:rPr>
          <w:spacing w:val="-1"/>
        </w:rPr>
        <w:t>recorded</w:t>
      </w:r>
      <w:r>
        <w:rPr>
          <w:spacing w:val="45"/>
        </w:rPr>
        <w:t xml:space="preserve"> </w:t>
      </w:r>
      <w:r>
        <w:rPr>
          <w:spacing w:val="-1"/>
        </w:rPr>
        <w:t>from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Fp1</w:t>
      </w:r>
      <w:r>
        <w:rPr>
          <w:spacing w:val="37"/>
        </w:rPr>
        <w:t xml:space="preserve"> </w:t>
      </w:r>
      <w:r>
        <w:rPr>
          <w:spacing w:val="-1"/>
        </w:rPr>
        <w:t>region</w:t>
      </w:r>
      <w:r>
        <w:rPr>
          <w:spacing w:val="38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subjected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1"/>
          <w:w w:val="101"/>
        </w:rPr>
        <w:t xml:space="preserve"> </w:t>
      </w:r>
      <w:r>
        <w:rPr>
          <w:spacing w:val="-1"/>
        </w:rPr>
        <w:t>band-pass</w:t>
      </w:r>
      <w:r>
        <w:rPr>
          <w:spacing w:val="27"/>
          <w:w w:val="101"/>
        </w:rPr>
        <w:t xml:space="preserve"> </w:t>
      </w:r>
      <w:r>
        <w:rPr>
          <w:spacing w:val="-1"/>
        </w:rPr>
        <w:t>filtering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7"/>
          <w:w w:val="101"/>
        </w:rPr>
        <w:t xml:space="preserve"> </w:t>
      </w:r>
      <w:r>
        <w:rPr>
          <w:spacing w:val="-1"/>
        </w:rPr>
        <w:t>0.7</w:t>
      </w:r>
      <w:r>
        <w:rPr>
          <w:spacing w:val="24"/>
        </w:rPr>
        <w:t xml:space="preserve"> </w:t>
      </w:r>
      <w:r>
        <w:rPr>
          <w:spacing w:val="-1"/>
        </w:rPr>
        <w:t>to 1</w:t>
      </w:r>
      <w:r>
        <w:rPr>
          <w:spacing w:val="-2"/>
        </w:rPr>
        <w:t xml:space="preserve"> Hz</w:t>
      </w:r>
      <w:r>
        <w:rPr>
          <w:spacing w:val="22"/>
          <w:w w:val="101"/>
        </w:rPr>
        <w:t xml:space="preserve"> </w:t>
      </w:r>
      <w:r>
        <w:rPr>
          <w:spacing w:val="-2"/>
        </w:rPr>
        <w:t>using a</w:t>
      </w:r>
      <w:r>
        <w:rPr>
          <w:spacing w:val="25"/>
        </w:rPr>
        <w:t xml:space="preserve"> </w:t>
      </w:r>
      <w:r>
        <w:rPr>
          <w:spacing w:val="-2"/>
        </w:rPr>
        <w:t>zero-phase   shift,</w:t>
      </w:r>
      <w:r>
        <w:t xml:space="preserve"> </w:t>
      </w:r>
      <w:r>
        <w:rPr>
          <w:spacing w:val="-1"/>
        </w:rPr>
        <w:t>Hamming-windowed sinc finite-impulse response (FIR) filter, followed by a Hilbert transform for phase extraction. Secondly, the number frequency of real phase when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tone delivering was calculated and plotted as circular histograms for STIM and SHAM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conditions, respectively.</w:t>
      </w:r>
    </w:p>
    <w:p w14:paraId="38F375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420" w:firstLineChars="0"/>
        <w:jc w:val="both"/>
        <w:textAlignment w:val="baseline"/>
        <w:rPr>
          <w:rFonts w:hint="eastAsia"/>
          <w:spacing w:val="-1"/>
          <w:lang w:val="en-US" w:eastAsia="zh-CN"/>
        </w:rPr>
      </w:pPr>
      <w:r>
        <w:rPr>
          <w:spacing w:val="-1"/>
        </w:rPr>
        <w:t>Tone-evoked EEG potential was also calculated. Firstly,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the EEG signal were band-pass filtered between 0.5 and 35 Hz and averaged across all blocks under STIM and SHAM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conditions, respectively. Secondly, EEG data were segmented into 3.5-second clips. Each clip including 0.5-second EEG before stimulation and 3 seconds post-stimulation (STIM or SHAM). Thirdly, each clip was baseline-corrected relative to its 0.5-second pre-stimulus interval. Lastly, the clips were averaged under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STIM and SHAM conditions respectively.</w:t>
      </w:r>
      <w:r>
        <w:rPr>
          <w:rFonts w:hint="eastAsia"/>
          <w:spacing w:val="-1"/>
          <w:lang w:val="en-US" w:eastAsia="zh-CN"/>
        </w:rPr>
        <w:t xml:space="preserve"> </w:t>
      </w:r>
    </w:p>
    <w:p w14:paraId="02DB14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420" w:firstLineChars="0"/>
        <w:jc w:val="both"/>
        <w:textAlignment w:val="baseline"/>
        <w:rPr>
          <w:spacing w:val="-1"/>
        </w:rPr>
      </w:pPr>
      <w:r>
        <w:rPr>
          <w:spacing w:val="-1"/>
        </w:rPr>
        <w:t>Power spectral density (PSD) was computed for each epoch with a frequency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resolution of 0.25 Hz (2000-point FFT). The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PSD estimates were then averaged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across all epochs and smoothed using a three-point moving average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under STIM and SHAM condition respectively. To remove the EEG variations across nights and subjects, for each epoch, the power of each 0.25-Hz frequency band was normalized to the cumulative power (MCP) of the 0.25-30 Hz band. Finally, the average percent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power change from SHAM blocks to STIM blocks was calculated[</w:t>
      </w:r>
      <w:r>
        <w:rPr>
          <w:rFonts w:hint="eastAsia" w:eastAsia="宋体"/>
          <w:spacing w:val="-1"/>
          <w:lang w:val="en-US" w:eastAsia="zh-CN"/>
        </w:rPr>
        <w:t>1</w:t>
      </w:r>
      <w:r>
        <w:rPr>
          <w:spacing w:val="-1"/>
        </w:rPr>
        <w:t>].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The percentage power differences between STIM and SHAM blocks were calculated in following six frequency bands: SWA (0.5-4Hz), theta (4</w:t>
      </w:r>
      <w:r>
        <w:rPr>
          <w:rFonts w:hint="eastAsia" w:eastAsia="宋体"/>
          <w:spacing w:val="-1"/>
          <w:lang w:val="en-US" w:eastAsia="zh-CN"/>
        </w:rPr>
        <w:t>-</w:t>
      </w:r>
      <w:r>
        <w:rPr>
          <w:spacing w:val="-1"/>
        </w:rPr>
        <w:t>8Hz), alpha (8</w:t>
      </w:r>
      <w:r>
        <w:rPr>
          <w:rFonts w:hint="eastAsia" w:eastAsia="宋体"/>
          <w:spacing w:val="-1"/>
          <w:lang w:val="en-US" w:eastAsia="zh-CN"/>
        </w:rPr>
        <w:t>-</w:t>
      </w:r>
      <w:r>
        <w:rPr>
          <w:spacing w:val="-1"/>
        </w:rPr>
        <w:t>12Hz), slow spindle (12</w:t>
      </w:r>
      <w:r>
        <w:rPr>
          <w:rFonts w:hint="eastAsia" w:eastAsia="宋体"/>
          <w:spacing w:val="-1"/>
          <w:lang w:val="en-US" w:eastAsia="zh-CN"/>
        </w:rPr>
        <w:t>-</w:t>
      </w:r>
      <w:r>
        <w:rPr>
          <w:spacing w:val="-1"/>
        </w:rPr>
        <w:t>14Hz), fast spindle (14</w:t>
      </w:r>
      <w:r>
        <w:rPr>
          <w:rFonts w:hint="eastAsia" w:eastAsia="宋体"/>
          <w:spacing w:val="-1"/>
          <w:lang w:val="en-US" w:eastAsia="zh-CN"/>
        </w:rPr>
        <w:t>-</w:t>
      </w:r>
      <w:r>
        <w:rPr>
          <w:spacing w:val="-1"/>
        </w:rPr>
        <w:t>16Hz), and beta (16</w:t>
      </w:r>
      <w:r>
        <w:rPr>
          <w:rFonts w:hint="eastAsia" w:eastAsia="宋体"/>
          <w:spacing w:val="-1"/>
          <w:lang w:val="en-US" w:eastAsia="zh-CN"/>
        </w:rPr>
        <w:t>-</w:t>
      </w:r>
      <w:r>
        <w:rPr>
          <w:spacing w:val="-1"/>
        </w:rPr>
        <w:t>20Hz). The calculation was performed using the formula:(STIM power - SHAM power)*100 /SHAM power.</w:t>
      </w:r>
    </w:p>
    <w:p w14:paraId="0D802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420" w:firstLineChars="0"/>
        <w:jc w:val="both"/>
        <w:textAlignment w:val="baseline"/>
        <w:rPr>
          <w:rFonts w:hint="eastAsia" w:eastAsia="宋体"/>
          <w:spacing w:val="-1"/>
          <w:lang w:val="en-US" w:eastAsia="zh-CN"/>
        </w:rPr>
      </w:pPr>
      <w:r>
        <w:rPr>
          <w:spacing w:val="-1"/>
        </w:rPr>
        <w:t>Event-related spectral perturbation (ERSP) plots were used to detect time-varying changes or perturbations in the spectral content that might not been captured in time-averaged signals[16, 17] . The ERSP of each epoch was calculated with and the "mne.time_frequency.tfr_morlet" function from MNE Python package. Briefly, it uses a family of complex Morlet wavelets to decompose signals into time-frequency representations. We used 100 log-spaced frequencies corresponding to each 0.25-Hz frequency bin and increased the number of wavelet cycles used from 1 cycle at 0.8 Hz to 40 cycles at 20 Hz. To estimate phase consistency across trials at different frequencies and characterize the amount of phase-locking across trials, we used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inter-trial coherence(ITC). A significant increase in ITC would indicate that EEG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activity at a specified time and frequency was phase-locked with respect to stimulus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onset</w:t>
      </w:r>
      <w:r>
        <w:rPr>
          <w:rFonts w:hint="eastAsia" w:eastAsia="宋体"/>
          <w:spacing w:val="-1"/>
          <w:lang w:val="en-US" w:eastAsia="zh-CN"/>
        </w:rPr>
        <w:t>.</w:t>
      </w:r>
    </w:p>
    <w:p w14:paraId="23BC81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eastAsia="宋体"/>
          <w:spacing w:val="-1"/>
          <w:lang w:val="en-US" w:eastAsia="zh-CN"/>
        </w:rPr>
      </w:pPr>
    </w:p>
    <w:p w14:paraId="778610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eastAsia="宋体"/>
          <w:spacing w:val="-1"/>
          <w:lang w:val="en-US" w:eastAsia="zh-CN"/>
        </w:rPr>
      </w:pPr>
    </w:p>
    <w:p w14:paraId="536935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eastAsia="宋体"/>
          <w:spacing w:val="-1"/>
          <w:lang w:val="en-US" w:eastAsia="zh-CN"/>
        </w:rPr>
      </w:pPr>
      <w:r>
        <w:rPr>
          <w:rFonts w:hint="eastAsia" w:eastAsia="宋体"/>
          <w:spacing w:val="-1"/>
          <w:lang w:val="en-US" w:eastAsia="zh-CN"/>
        </w:rPr>
        <w:t>Reference:</w:t>
      </w:r>
    </w:p>
    <w:p w14:paraId="7E2DD1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ascii="Times New Roman" w:hAnsi="Times New Roman" w:eastAsia="Times New Roman" w:cs="Times New Roman"/>
          <w:spacing w:val="-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[1] Ong JL,  Lo JC,  Chee NI,  Santostasi G,  Paller KA,  Zee PC, et al. </w:t>
      </w:r>
      <w:bookmarkStart w:id="0" w:name="OLE_LINK6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Effects of phase-locked acou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stic stimulation during a nap on EEG spectra and declarative memory consolidation.</w:t>
      </w:r>
      <w:bookmarkEnd w:id="0"/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 xml:space="preserve"> Sleep Med 2016;20:88-97.</w:t>
      </w:r>
    </w:p>
    <w:p w14:paraId="0B488E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Times New Roman" w:hAnsi="Times New Roman" w:eastAsia="Times New Roman" w:cs="Times New Roman"/>
          <w:spacing w:val="-1"/>
        </w:rPr>
      </w:pP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 xml:space="preserve">[2] </w:t>
      </w:r>
      <w:r>
        <w:rPr>
          <w:rFonts w:ascii="Times New Roman" w:hAnsi="Times New Roman" w:eastAsia="Times New Roman" w:cs="Times New Roman"/>
          <w:spacing w:val="-1"/>
        </w:rPr>
        <w:t>Makeig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bookmarkStart w:id="1" w:name="OLE_LINK1"/>
      <w:r>
        <w:rPr>
          <w:rFonts w:ascii="Times New Roman" w:hAnsi="Times New Roman" w:eastAsia="Times New Roman" w:cs="Times New Roman"/>
          <w:spacing w:val="-1"/>
        </w:rPr>
        <w:t>Auditory event-related dynamics of the EEG spectrum  and effects of exposure to tones. Electroencephalogr Clin Neurophysiol</w:t>
      </w:r>
      <w:bookmarkEnd w:id="1"/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1993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;</w:t>
      </w:r>
      <w:r>
        <w:rPr>
          <w:rFonts w:ascii="Times New Roman" w:hAnsi="Times New Roman" w:eastAsia="Times New Roman" w:cs="Times New Roman"/>
          <w:spacing w:val="-1"/>
        </w:rPr>
        <w:t>86(4):283-93.</w:t>
      </w:r>
    </w:p>
    <w:p w14:paraId="745EB8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ascii="Times New Roman" w:hAnsi="Times New Roman" w:eastAsia="宋体" w:cs="Times New Roman"/>
          <w:spacing w:val="-1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 xml:space="preserve">[3] </w:t>
      </w:r>
      <w:bookmarkStart w:id="2" w:name="OLE_LINK2"/>
      <w:r>
        <w:rPr>
          <w:rFonts w:hint="eastAsia" w:ascii="Times New Roman" w:hAnsi="Times New Roman" w:eastAsia="Times New Roman" w:cs="Times New Roman"/>
          <w:spacing w:val="-1"/>
        </w:rPr>
        <w:t>Tallon-Baudry C,  Bertrand O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. Oscillato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ry gamma activity in humans and its role in object representation. Trends Cogn Sci Oscillatory gamma activity in humans and its role in object representation. Trends Cogn Sci</w:t>
      </w:r>
      <w:bookmarkEnd w:id="2"/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 xml:space="preserve"> 1999;3(4):151-162.</w:t>
      </w:r>
    </w:p>
    <w:p w14:paraId="55FE93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661588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7438B3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50095F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6C0F03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2C7582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pacing w:val="-1"/>
          <w:lang w:val="en-US" w:eastAsia="zh-CN"/>
        </w:rPr>
      </w:pPr>
    </w:p>
    <w:p w14:paraId="2D0A2B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default"/>
          <w:position w:val="-1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OGJjZTIwZDU2ODExY2Q0YzIyMTZmMmM4ZWM0NjkifQ=="/>
  </w:docVars>
  <w:rsids>
    <w:rsidRoot w:val="00000000"/>
    <w:rsid w:val="04326434"/>
    <w:rsid w:val="24E7410B"/>
    <w:rsid w:val="32CB11FC"/>
    <w:rsid w:val="41FC15F5"/>
    <w:rsid w:val="48522B20"/>
    <w:rsid w:val="4ACC745C"/>
    <w:rsid w:val="64467DFE"/>
    <w:rsid w:val="6D86621B"/>
    <w:rsid w:val="760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3366</Characters>
  <Lines>0</Lines>
  <Paragraphs>0</Paragraphs>
  <TotalTime>6</TotalTime>
  <ScaleCrop>false</ScaleCrop>
  <LinksUpToDate>false</LinksUpToDate>
  <CharactersWithSpaces>3946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2024-01-17T15:38:00Z</dcterms:created>
  <dc:creator>Administrator</dc:creator>
  <cp:lastModifiedBy>DYQ</cp:lastModifiedBy>
  <dcterms:modified xsi:type="dcterms:W3CDTF">2024-11-02T09:08:34Z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0222BBFD09944225876655C4F0CBD6B7_12</vt:lpwstr>
  </property>
</Properties>
</file>