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89544">
      <w:pPr>
        <w:spacing w:line="480" w:lineRule="auto"/>
        <w:rPr>
          <w:bCs w:val="0"/>
          <w:color w:val="auto"/>
          <w:sz w:val="20"/>
          <w:szCs w:val="20"/>
        </w:rPr>
      </w:pPr>
      <w:bookmarkStart w:id="0" w:name="OLE_LINK84"/>
      <w:bookmarkStart w:id="1" w:name="OLE_LINK47"/>
      <w:bookmarkStart w:id="2" w:name="OLE_LINK45"/>
      <w:r>
        <w:rPr>
          <w:rFonts w:hint="eastAsia"/>
          <w:b/>
          <w:color w:val="auto"/>
          <w:sz w:val="20"/>
          <w:szCs w:val="20"/>
        </w:rPr>
        <w:t xml:space="preserve">Article title: </w:t>
      </w:r>
      <w:r>
        <w:rPr>
          <w:rFonts w:ascii="Times New Roman" w:hAnsi="Times New Roman"/>
          <w:b w:val="0"/>
          <w:bCs w:val="0"/>
          <w:i/>
          <w:iCs/>
          <w:sz w:val="20"/>
          <w:szCs w:val="20"/>
        </w:rPr>
        <w:t xml:space="preserve">Bacillus </w:t>
      </w:r>
      <w:r>
        <w:rPr>
          <w:rFonts w:hint="eastAsia" w:ascii="Times New Roman" w:hAnsi="Times New Roman"/>
          <w:b w:val="0"/>
          <w:bCs w:val="0"/>
          <w:i/>
          <w:iCs/>
          <w:sz w:val="20"/>
          <w:szCs w:val="20"/>
        </w:rPr>
        <w:t xml:space="preserve">megaterium 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strain KGA3</w:t>
      </w:r>
      <w:r>
        <w:rPr>
          <w:rFonts w:ascii="Times New Roman" w:hAnsi="Times New Roman"/>
          <w:b w:val="0"/>
          <w:bCs w:val="0"/>
          <w:sz w:val="20"/>
          <w:szCs w:val="20"/>
        </w:rPr>
        <w:t xml:space="preserve"> increases sal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ine</w:t>
      </w:r>
      <w:r>
        <w:rPr>
          <w:rFonts w:ascii="Times New Roman" w:hAnsi="Times New Roman"/>
          <w:b w:val="0"/>
          <w:bCs w:val="0"/>
          <w:sz w:val="20"/>
          <w:szCs w:val="20"/>
        </w:rPr>
        <w:t xml:space="preserve">–alkaline tolerance of maize </w:t>
      </w:r>
      <w:r>
        <w:rPr>
          <w:rFonts w:hint="eastAsia" w:ascii="Times New Roman" w:hAnsi="Times New Roman"/>
          <w:b w:val="0"/>
          <w:bCs w:val="0"/>
          <w:sz w:val="20"/>
          <w:szCs w:val="20"/>
        </w:rPr>
        <w:t>by recruiting keystone taxa in rhizosphere soil</w:t>
      </w:r>
    </w:p>
    <w:p w14:paraId="5885F658">
      <w:pPr>
        <w:spacing w:line="480" w:lineRule="auto"/>
        <w:rPr>
          <w:color w:val="auto"/>
          <w:sz w:val="20"/>
          <w:szCs w:val="20"/>
        </w:rPr>
      </w:pPr>
      <w:r>
        <w:rPr>
          <w:rFonts w:hint="eastAsia"/>
          <w:b/>
          <w:bCs w:val="0"/>
          <w:color w:val="auto"/>
          <w:sz w:val="20"/>
          <w:szCs w:val="20"/>
        </w:rPr>
        <w:t>Journal name:</w:t>
      </w:r>
      <w:r>
        <w:rPr>
          <w:rFonts w:hint="eastAsia"/>
          <w:color w:val="auto"/>
          <w:sz w:val="20"/>
          <w:szCs w:val="20"/>
        </w:rPr>
        <w:t xml:space="preserve"> Plant and Soil</w:t>
      </w:r>
    </w:p>
    <w:p w14:paraId="1936F2EE">
      <w:pPr>
        <w:spacing w:line="480" w:lineRule="auto"/>
        <w:rPr>
          <w:color w:val="auto"/>
          <w:sz w:val="20"/>
          <w:szCs w:val="20"/>
          <w:vertAlign w:val="superscript"/>
          <w:lang w:val="nl-NL"/>
        </w:rPr>
      </w:pPr>
      <w:r>
        <w:rPr>
          <w:rFonts w:hint="eastAsia"/>
          <w:b/>
          <w:bCs w:val="0"/>
          <w:color w:val="auto"/>
          <w:sz w:val="20"/>
          <w:szCs w:val="20"/>
        </w:rPr>
        <w:t>Author name:</w:t>
      </w:r>
      <w:r>
        <w:rPr>
          <w:rFonts w:hint="eastAsia"/>
          <w:color w:val="auto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Lijuan Jia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Shengnan Z</w:t>
      </w:r>
      <w:bookmarkStart w:id="3" w:name="_GoBack"/>
      <w:bookmarkEnd w:id="3"/>
      <w:r>
        <w:rPr>
          <w:rFonts w:ascii="Times New Roman" w:hAnsi="Times New Roman"/>
          <w:sz w:val="20"/>
          <w:szCs w:val="20"/>
        </w:rPr>
        <w:t xml:space="preserve">hang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Yuan Xu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0"/>
        </w:rPr>
        <w:t>Xiangjian Tu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</w:rPr>
        <w:t>·</w:t>
      </w:r>
      <w:r>
        <w:rPr>
          <w:rFonts w:ascii="Times New Roman" w:hAnsi="Times New Roman"/>
          <w:sz w:val="20"/>
          <w:szCs w:val="20"/>
        </w:rPr>
        <w:t xml:space="preserve"> Lei Ji</w:t>
      </w:r>
    </w:p>
    <w:p w14:paraId="2D813381">
      <w:pPr>
        <w:spacing w:line="480" w:lineRule="auto"/>
        <w:rPr>
          <w:color w:val="auto"/>
          <w:sz w:val="20"/>
          <w:szCs w:val="20"/>
        </w:rPr>
      </w:pPr>
      <w:r>
        <w:rPr>
          <w:rFonts w:hint="eastAsia"/>
          <w:b/>
          <w:bCs w:val="0"/>
          <w:color w:val="auto"/>
          <w:sz w:val="20"/>
          <w:szCs w:val="20"/>
        </w:rPr>
        <w:t xml:space="preserve">Affiliation of the corresponding author: </w:t>
      </w:r>
      <w:r>
        <w:rPr>
          <w:rFonts w:hint="eastAsia"/>
          <w:color w:val="auto"/>
          <w:kern w:val="0"/>
          <w:sz w:val="20"/>
          <w:szCs w:val="20"/>
        </w:rPr>
        <w:t>Institute of Grassland Research of Chinese Academy of Agricultural Sciences, Hohhot 010010, China</w:t>
      </w:r>
    </w:p>
    <w:p w14:paraId="74DE5EF6">
      <w:pPr>
        <w:autoSpaceDE w:val="0"/>
        <w:autoSpaceDN w:val="0"/>
        <w:adjustRightInd w:val="0"/>
        <w:spacing w:line="480" w:lineRule="auto"/>
        <w:rPr>
          <w:color w:val="auto"/>
          <w:kern w:val="0"/>
          <w:sz w:val="20"/>
          <w:szCs w:val="20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  <w:r>
        <w:rPr>
          <w:rFonts w:hint="eastAsia"/>
          <w:b/>
          <w:color w:val="auto"/>
          <w:sz w:val="20"/>
          <w:szCs w:val="20"/>
        </w:rPr>
        <w:t>Email of the c</w:t>
      </w:r>
      <w:r>
        <w:rPr>
          <w:b/>
          <w:color w:val="auto"/>
          <w:sz w:val="20"/>
          <w:szCs w:val="20"/>
        </w:rPr>
        <w:t>orresponding author:</w:t>
      </w:r>
      <w:r>
        <w:rPr>
          <w:rFonts w:hint="eastAsia"/>
          <w:b/>
          <w:color w:val="auto"/>
          <w:sz w:val="20"/>
          <w:szCs w:val="20"/>
        </w:rPr>
        <w:t xml:space="preserve"> </w:t>
      </w:r>
      <w:r>
        <w:rPr>
          <w:rStyle w:val="7"/>
          <w:rFonts w:hint="eastAsia"/>
          <w:color w:val="auto"/>
          <w:kern w:val="0"/>
          <w:sz w:val="20"/>
          <w:szCs w:val="20"/>
          <w:u w:val="none"/>
          <w:lang w:val="en-US" w:eastAsia="zh-CN"/>
        </w:rPr>
        <w:t>jilei</w:t>
      </w:r>
      <w:r>
        <w:rPr>
          <w:rStyle w:val="7"/>
          <w:color w:val="auto"/>
          <w:kern w:val="0"/>
          <w:sz w:val="20"/>
          <w:szCs w:val="20"/>
          <w:u w:val="none"/>
        </w:rPr>
        <w:t>@caas.cn</w:t>
      </w:r>
      <w:bookmarkEnd w:id="0"/>
      <w:bookmarkEnd w:id="1"/>
      <w:bookmarkEnd w:id="2"/>
    </w:p>
    <w:p w14:paraId="37F8056B">
      <w:pPr>
        <w:spacing w:line="480" w:lineRule="auto"/>
        <w:rPr>
          <w:b/>
          <w:color w:val="auto"/>
          <w:kern w:val="0"/>
          <w:sz w:val="20"/>
          <w:szCs w:val="20"/>
        </w:rPr>
      </w:pPr>
      <w:r>
        <w:rPr>
          <w:b/>
          <w:color w:val="auto"/>
          <w:kern w:val="0"/>
          <w:sz w:val="20"/>
          <w:szCs w:val="20"/>
        </w:rPr>
        <w:t>Supplementary materials</w:t>
      </w:r>
    </w:p>
    <w:p w14:paraId="250A0A7E">
      <w:pPr>
        <w:rPr>
          <w:b/>
          <w:bCs w:val="0"/>
          <w:sz w:val="20"/>
          <w:szCs w:val="20"/>
        </w:rPr>
      </w:pPr>
    </w:p>
    <w:p w14:paraId="28934354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S</w:t>
      </w:r>
      <w:r>
        <w:rPr>
          <w:rFonts w:hint="eastAsia" w:ascii="Times New Roman" w:hAnsi="Times New Roman"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>. Alpha diversity indices of the phosphorus-solubilizing bacterial community in the rhizosphere of maize with strain KGA3 inoculation and without (CK) in saline–alkaline soil.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2130"/>
        <w:gridCol w:w="2170"/>
      </w:tblGrid>
      <w:tr w14:paraId="30D6F45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48B5FF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α-diversity indices</w:t>
            </w:r>
          </w:p>
        </w:tc>
        <w:tc>
          <w:tcPr>
            <w:tcW w:w="213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28CDFF37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CK</w:t>
            </w:r>
          </w:p>
        </w:tc>
        <w:tc>
          <w:tcPr>
            <w:tcW w:w="217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2CF3F1F1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sz w:val="20"/>
                <w:szCs w:val="20"/>
              </w:rPr>
              <w:t>KGA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</w:tc>
      </w:tr>
      <w:tr w14:paraId="40FFA4D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  <w:tcBorders>
              <w:top w:val="single" w:color="auto" w:sz="8" w:space="0"/>
              <w:bottom w:val="nil"/>
            </w:tcBorders>
            <w:vAlign w:val="center"/>
          </w:tcPr>
          <w:p w14:paraId="63EEB2F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Ace</w:t>
            </w:r>
          </w:p>
        </w:tc>
        <w:tc>
          <w:tcPr>
            <w:tcW w:w="2130" w:type="dxa"/>
            <w:tcBorders>
              <w:top w:val="single" w:color="auto" w:sz="8" w:space="0"/>
              <w:bottom w:val="nil"/>
            </w:tcBorders>
            <w:vAlign w:val="center"/>
          </w:tcPr>
          <w:p w14:paraId="0293497A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33.00 ± 1.58</w:t>
            </w:r>
          </w:p>
        </w:tc>
        <w:tc>
          <w:tcPr>
            <w:tcW w:w="2170" w:type="dxa"/>
            <w:tcBorders>
              <w:top w:val="single" w:color="auto" w:sz="8" w:space="0"/>
              <w:bottom w:val="nil"/>
            </w:tcBorders>
            <w:vAlign w:val="center"/>
          </w:tcPr>
          <w:p w14:paraId="587AEFC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34.60 ± 3.28</w:t>
            </w:r>
          </w:p>
        </w:tc>
      </w:tr>
      <w:tr w14:paraId="5A2AE1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  <w:tcBorders>
              <w:top w:val="nil"/>
              <w:bottom w:val="nil"/>
            </w:tcBorders>
            <w:vAlign w:val="center"/>
          </w:tcPr>
          <w:p w14:paraId="10C64A38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Chao 1</w:t>
            </w:r>
          </w:p>
        </w:tc>
        <w:tc>
          <w:tcPr>
            <w:tcW w:w="2130" w:type="dxa"/>
            <w:tcBorders>
              <w:top w:val="nil"/>
              <w:bottom w:val="nil"/>
            </w:tcBorders>
            <w:vAlign w:val="center"/>
          </w:tcPr>
          <w:p w14:paraId="0FE9774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33.00 ± 1.58</w:t>
            </w:r>
          </w:p>
        </w:tc>
        <w:tc>
          <w:tcPr>
            <w:tcW w:w="2170" w:type="dxa"/>
            <w:tcBorders>
              <w:top w:val="nil"/>
              <w:bottom w:val="nil"/>
            </w:tcBorders>
            <w:vAlign w:val="center"/>
          </w:tcPr>
          <w:p w14:paraId="4010982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30.60 ± 2.30</w:t>
            </w:r>
          </w:p>
        </w:tc>
      </w:tr>
      <w:tr w14:paraId="41A86A9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  <w:tcBorders>
              <w:top w:val="nil"/>
              <w:bottom w:val="nil"/>
            </w:tcBorders>
            <w:vAlign w:val="center"/>
          </w:tcPr>
          <w:p w14:paraId="4EFF6F77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Shannon</w:t>
            </w:r>
          </w:p>
        </w:tc>
        <w:tc>
          <w:tcPr>
            <w:tcW w:w="2130" w:type="dxa"/>
            <w:tcBorders>
              <w:top w:val="nil"/>
              <w:bottom w:val="nil"/>
            </w:tcBorders>
            <w:vAlign w:val="center"/>
          </w:tcPr>
          <w:p w14:paraId="0784A55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2.901 ± 0.06</w:t>
            </w:r>
          </w:p>
        </w:tc>
        <w:tc>
          <w:tcPr>
            <w:tcW w:w="2170" w:type="dxa"/>
            <w:tcBorders>
              <w:top w:val="nil"/>
              <w:bottom w:val="nil"/>
            </w:tcBorders>
            <w:vAlign w:val="center"/>
          </w:tcPr>
          <w:p w14:paraId="38D9E2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2.840 ± 0.26</w:t>
            </w:r>
          </w:p>
        </w:tc>
      </w:tr>
      <w:tr w14:paraId="4E0AEE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  <w:tcBorders>
              <w:top w:val="nil"/>
              <w:bottom w:val="single" w:color="auto" w:sz="12" w:space="0"/>
            </w:tcBorders>
            <w:vAlign w:val="center"/>
          </w:tcPr>
          <w:p w14:paraId="792FEB55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Simpson</w:t>
            </w:r>
          </w:p>
        </w:tc>
        <w:tc>
          <w:tcPr>
            <w:tcW w:w="2130" w:type="dxa"/>
            <w:tcBorders>
              <w:top w:val="nil"/>
              <w:bottom w:val="single" w:color="auto" w:sz="12" w:space="0"/>
            </w:tcBorders>
            <w:vAlign w:val="center"/>
          </w:tcPr>
          <w:p w14:paraId="53D77D02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0.082 ± 0.01</w:t>
            </w:r>
          </w:p>
        </w:tc>
        <w:tc>
          <w:tcPr>
            <w:tcW w:w="2170" w:type="dxa"/>
            <w:tcBorders>
              <w:top w:val="nil"/>
              <w:bottom w:val="single" w:color="auto" w:sz="12" w:space="0"/>
            </w:tcBorders>
            <w:vAlign w:val="center"/>
          </w:tcPr>
          <w:p w14:paraId="680DD1E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0.087 ± 0.02</w:t>
            </w:r>
          </w:p>
        </w:tc>
      </w:tr>
    </w:tbl>
    <w:p w14:paraId="23EB939B">
      <w:pPr>
        <w:rPr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Note:</w:t>
      </w:r>
      <w:r>
        <w:rPr>
          <w:rFonts w:ascii="Times New Roman" w:hAnsi="Times New Roman"/>
          <w:sz w:val="20"/>
          <w:szCs w:val="20"/>
        </w:rPr>
        <w:t xml:space="preserve"> Values represent the mean ± standard deviation</w:t>
      </w:r>
      <w:r>
        <w:rPr>
          <w:rFonts w:hint="eastAsia" w:ascii="Times New Roman" w:hAnsi="Times New Roman"/>
          <w:sz w:val="20"/>
          <w:szCs w:val="20"/>
        </w:rPr>
        <w:t xml:space="preserve">, 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n </w:t>
      </w:r>
      <w:r>
        <w:rPr>
          <w:rFonts w:hint="eastAsia" w:ascii="Times New Roman" w:hAnsi="Times New Roman"/>
          <w:sz w:val="20"/>
          <w:szCs w:val="20"/>
        </w:rPr>
        <w:t>= 5</w:t>
      </w:r>
      <w:r>
        <w:rPr>
          <w:rFonts w:ascii="Times New Roman" w:hAnsi="Times New Roman"/>
          <w:sz w:val="20"/>
          <w:szCs w:val="20"/>
        </w:rPr>
        <w:t>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F03"/>
    <w:rsid w:val="00157A28"/>
    <w:rsid w:val="003F21CD"/>
    <w:rsid w:val="00404688"/>
    <w:rsid w:val="00431368"/>
    <w:rsid w:val="00461DF2"/>
    <w:rsid w:val="00466291"/>
    <w:rsid w:val="004A3E01"/>
    <w:rsid w:val="00667CB7"/>
    <w:rsid w:val="00691A02"/>
    <w:rsid w:val="00695EEF"/>
    <w:rsid w:val="00745672"/>
    <w:rsid w:val="0078460D"/>
    <w:rsid w:val="007C2579"/>
    <w:rsid w:val="00855C5B"/>
    <w:rsid w:val="00894170"/>
    <w:rsid w:val="008B6B9B"/>
    <w:rsid w:val="00AA42F0"/>
    <w:rsid w:val="00AF0A03"/>
    <w:rsid w:val="00B40BC7"/>
    <w:rsid w:val="00B653EA"/>
    <w:rsid w:val="00BA19F6"/>
    <w:rsid w:val="00BB4F03"/>
    <w:rsid w:val="00C15AAE"/>
    <w:rsid w:val="00C36199"/>
    <w:rsid w:val="00C6194E"/>
    <w:rsid w:val="00CA1681"/>
    <w:rsid w:val="00D55FD4"/>
    <w:rsid w:val="00DC6C35"/>
    <w:rsid w:val="00E8509D"/>
    <w:rsid w:val="00F31552"/>
    <w:rsid w:val="00F4763A"/>
    <w:rsid w:val="01266760"/>
    <w:rsid w:val="0BA77411"/>
    <w:rsid w:val="108B08F2"/>
    <w:rsid w:val="1C1B7F64"/>
    <w:rsid w:val="25002552"/>
    <w:rsid w:val="31A3399B"/>
    <w:rsid w:val="3C9C2037"/>
    <w:rsid w:val="46FF1DC5"/>
    <w:rsid w:val="4A6F0078"/>
    <w:rsid w:val="4BD21F6C"/>
    <w:rsid w:val="4C150210"/>
    <w:rsid w:val="4CEC1804"/>
    <w:rsid w:val="53D90F91"/>
    <w:rsid w:val="5EDA5D48"/>
    <w:rsid w:val="5FA75BA4"/>
    <w:rsid w:val="63F72470"/>
    <w:rsid w:val="6E09565B"/>
    <w:rsid w:val="708B2545"/>
    <w:rsid w:val="7CD26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bCs/>
      <w:color w:val="000000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bCs/>
      <w:color w:val="000000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bCs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775</Characters>
  <Lines>60</Lines>
  <Paragraphs>16</Paragraphs>
  <TotalTime>1</TotalTime>
  <ScaleCrop>false</ScaleCrop>
  <LinksUpToDate>false</LinksUpToDate>
  <CharactersWithSpaces>892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2021-08-05T02:35:00Z</dcterms:created>
  <dc:creator>J</dc:creator>
  <cp:lastModifiedBy>贾丽娟</cp:lastModifiedBy>
  <dcterms:modified xsi:type="dcterms:W3CDTF">2025-06-13T02:01:18Z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3B55A1E225FD4727B43812471C2A293B</vt:lpwstr>
  </property>
  <property fmtid="{D5CDD505-2E9C-101B-9397-08002B2CF9AE}" pid="4" name="KSOTemplateDocerSaveRecord">
    <vt:lpwstr>eyJoZGlkIjoiYzViNTk4NDI1Mjg2ZjY5YjcxNzU4M2RhYzdmNTI4MDgiLCJ1c2VySWQiOiIxNDU5NDE4MTM4In0=</vt:lpwstr>
  </property>
</Properties>
</file>