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C9039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457B31">
        <w:rPr>
          <w:rFonts w:ascii="Times New Roman" w:hAnsi="Times New Roman" w:cs="Times New Roman"/>
          <w:sz w:val="24"/>
          <w:szCs w:val="24"/>
        </w:rPr>
        <w:t xml:space="preserve">: IL-6 secretion into effluent media in control tubules (treated with baseline media only). A statistically significant increase (p&lt;0.001) in IL-6 secretion was observed in flight samples compared with ground controls. </w:t>
      </w:r>
    </w:p>
    <w:p w14:paraId="3295899D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2DCD1AA3" w14:textId="77777777" w:rsidR="00DF78BC" w:rsidRPr="00457B31" w:rsidRDefault="00DF78BC" w:rsidP="00DF78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1394FF" wp14:editId="1A47DEBE">
            <wp:extent cx="5695950" cy="4045870"/>
            <wp:effectExtent l="0" t="0" r="0" b="0"/>
            <wp:docPr id="5" name="Picture 4" descr="A diagram of flight statu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18895B6-FDD7-4678-7E9C-9E07EBC5CD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diagram of flight status&#10;&#10;Description automatically generated">
                      <a:extLst>
                        <a:ext uri="{FF2B5EF4-FFF2-40B4-BE49-F238E27FC236}">
                          <a16:creationId xmlns:a16="http://schemas.microsoft.com/office/drawing/2014/main" id="{F18895B6-FDD7-4678-7E9C-9E07EBC5CD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50000" t="20579" r="3692" b="30145"/>
                    <a:stretch/>
                  </pic:blipFill>
                  <pic:spPr>
                    <a:xfrm>
                      <a:off x="0" y="0"/>
                      <a:ext cx="5702849" cy="40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A772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sz w:val="24"/>
          <w:szCs w:val="24"/>
        </w:rPr>
        <w:br w:type="page"/>
      </w:r>
    </w:p>
    <w:p w14:paraId="45BB9E26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1. </w:t>
      </w:r>
      <w:r w:rsidRPr="00457B31">
        <w:rPr>
          <w:rFonts w:ascii="Times New Roman" w:hAnsi="Times New Roman" w:cs="Times New Roman"/>
          <w:sz w:val="24"/>
          <w:szCs w:val="24"/>
        </w:rPr>
        <w:t>Kidney tissue donor demographics.</w:t>
      </w:r>
    </w:p>
    <w:p w14:paraId="49AEFA8F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F78BC" w:rsidRPr="00457B31" w14:paraId="3F9D03BD" w14:textId="77777777" w:rsidTr="00CC3FC2"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CF2939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Donor ID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6D516A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D923F3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451651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75F0A0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Cause of Death</w:t>
            </w:r>
          </w:p>
        </w:tc>
      </w:tr>
      <w:tr w:rsidR="00DF78BC" w:rsidRPr="00457B31" w14:paraId="6775DAE7" w14:textId="77777777" w:rsidTr="00CC3FC2">
        <w:tc>
          <w:tcPr>
            <w:tcW w:w="1870" w:type="dxa"/>
            <w:tcBorders>
              <w:top w:val="single" w:sz="4" w:space="0" w:color="auto"/>
            </w:tcBorders>
          </w:tcPr>
          <w:p w14:paraId="05A54CCB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PT5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17FC723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E0756D2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A9A663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Hispanic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0513BF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</w:tr>
      <w:tr w:rsidR="00DF78BC" w:rsidRPr="00457B31" w14:paraId="18C0E23C" w14:textId="77777777" w:rsidTr="00CC3FC2">
        <w:tc>
          <w:tcPr>
            <w:tcW w:w="1870" w:type="dxa"/>
          </w:tcPr>
          <w:p w14:paraId="2F5BB2E6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PT6</w:t>
            </w:r>
          </w:p>
        </w:tc>
        <w:tc>
          <w:tcPr>
            <w:tcW w:w="1870" w:type="dxa"/>
          </w:tcPr>
          <w:p w14:paraId="6BEAF95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870" w:type="dxa"/>
          </w:tcPr>
          <w:p w14:paraId="306D86DB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70" w:type="dxa"/>
          </w:tcPr>
          <w:p w14:paraId="74DB5533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70" w:type="dxa"/>
          </w:tcPr>
          <w:p w14:paraId="1D6076F9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</w:tr>
      <w:tr w:rsidR="00DF78BC" w:rsidRPr="00457B31" w14:paraId="0FBC2914" w14:textId="77777777" w:rsidTr="00CC3FC2">
        <w:tc>
          <w:tcPr>
            <w:tcW w:w="1870" w:type="dxa"/>
          </w:tcPr>
          <w:p w14:paraId="3AB3DEFB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PT7</w:t>
            </w:r>
          </w:p>
        </w:tc>
        <w:tc>
          <w:tcPr>
            <w:tcW w:w="1870" w:type="dxa"/>
          </w:tcPr>
          <w:p w14:paraId="217E0C17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870" w:type="dxa"/>
          </w:tcPr>
          <w:p w14:paraId="7BA29E13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70" w:type="dxa"/>
          </w:tcPr>
          <w:p w14:paraId="2897494C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Hispanic</w:t>
            </w:r>
          </w:p>
        </w:tc>
        <w:tc>
          <w:tcPr>
            <w:tcW w:w="1870" w:type="dxa"/>
          </w:tcPr>
          <w:p w14:paraId="4EE3AEF7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</w:tr>
      <w:tr w:rsidR="00DF78BC" w:rsidRPr="00457B31" w14:paraId="0434FDE9" w14:textId="77777777" w:rsidTr="00CC3FC2">
        <w:tc>
          <w:tcPr>
            <w:tcW w:w="1870" w:type="dxa"/>
          </w:tcPr>
          <w:p w14:paraId="40809498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PT8</w:t>
            </w:r>
          </w:p>
        </w:tc>
        <w:tc>
          <w:tcPr>
            <w:tcW w:w="1870" w:type="dxa"/>
          </w:tcPr>
          <w:p w14:paraId="1FD16B21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870" w:type="dxa"/>
          </w:tcPr>
          <w:p w14:paraId="400797A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70" w:type="dxa"/>
          </w:tcPr>
          <w:p w14:paraId="7E5179CB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870" w:type="dxa"/>
          </w:tcPr>
          <w:p w14:paraId="16BA4D52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</w:tr>
      <w:tr w:rsidR="00DF78BC" w:rsidRPr="00457B31" w14:paraId="4BFB34D8" w14:textId="77777777" w:rsidTr="00CC3FC2">
        <w:tc>
          <w:tcPr>
            <w:tcW w:w="1870" w:type="dxa"/>
          </w:tcPr>
          <w:p w14:paraId="7FFD932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PT9</w:t>
            </w:r>
          </w:p>
        </w:tc>
        <w:tc>
          <w:tcPr>
            <w:tcW w:w="1870" w:type="dxa"/>
          </w:tcPr>
          <w:p w14:paraId="3E044D1D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870" w:type="dxa"/>
          </w:tcPr>
          <w:p w14:paraId="460F1FAF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70" w:type="dxa"/>
          </w:tcPr>
          <w:p w14:paraId="4D3F67B9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70" w:type="dxa"/>
          </w:tcPr>
          <w:p w14:paraId="147AF44F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Head trauma</w:t>
            </w:r>
          </w:p>
        </w:tc>
      </w:tr>
      <w:tr w:rsidR="00DF78BC" w:rsidRPr="00457B31" w14:paraId="570F88CB" w14:textId="77777777" w:rsidTr="00CC3FC2">
        <w:tc>
          <w:tcPr>
            <w:tcW w:w="1870" w:type="dxa"/>
            <w:tcBorders>
              <w:bottom w:val="single" w:sz="4" w:space="0" w:color="auto"/>
            </w:tcBorders>
          </w:tcPr>
          <w:p w14:paraId="7F271A82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PT10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A30D77A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5EC72CAC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A09BC0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27ED720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Anoxia</w:t>
            </w:r>
          </w:p>
        </w:tc>
      </w:tr>
    </w:tbl>
    <w:p w14:paraId="09FFA6FF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2FB6478D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457B3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</w:t>
      </w:r>
      <w:r w:rsidRPr="00457B31">
        <w:rPr>
          <w:rFonts w:ascii="Times New Roman" w:hAnsi="Times New Roman" w:cs="Times New Roman"/>
          <w:sz w:val="24"/>
          <w:szCs w:val="24"/>
        </w:rPr>
        <w:t xml:space="preserve"> PT-MPS tubules with nominal</w:t>
      </w:r>
      <w:r>
        <w:rPr>
          <w:rFonts w:ascii="Times New Roman" w:hAnsi="Times New Roman" w:cs="Times New Roman"/>
          <w:sz w:val="24"/>
          <w:szCs w:val="24"/>
        </w:rPr>
        <w:t xml:space="preserve"> (±20% of expected)</w:t>
      </w:r>
      <w:r w:rsidRPr="00457B31">
        <w:rPr>
          <w:rFonts w:ascii="Times New Roman" w:hAnsi="Times New Roman" w:cs="Times New Roman"/>
          <w:sz w:val="24"/>
          <w:szCs w:val="24"/>
        </w:rPr>
        <w:t xml:space="preserve"> maintenance (M) or test (T) media flow, listed by donor ID and flight condition. </w:t>
      </w:r>
      <w:r>
        <w:rPr>
          <w:rFonts w:ascii="Times New Roman" w:hAnsi="Times New Roman" w:cs="Times New Roman"/>
          <w:sz w:val="24"/>
          <w:szCs w:val="24"/>
        </w:rPr>
        <w:t>Nominal</w:t>
      </w:r>
      <w:r w:rsidRPr="00457B31">
        <w:rPr>
          <w:rFonts w:ascii="Times New Roman" w:hAnsi="Times New Roman" w:cs="Times New Roman"/>
          <w:sz w:val="24"/>
          <w:szCs w:val="24"/>
        </w:rPr>
        <w:t xml:space="preserve"> recovery is calculated as the percentage of tubules with nominal flow, indicating continuous media perfusion. </w:t>
      </w:r>
    </w:p>
    <w:p w14:paraId="7EE3A790" w14:textId="77777777" w:rsidR="00DF78BC" w:rsidRPr="00457B31" w:rsidRDefault="00DF78BC" w:rsidP="00DF78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A03A1E" w14:textId="77777777" w:rsidR="00DF78BC" w:rsidRPr="00457B31" w:rsidRDefault="00DF78BC" w:rsidP="00DF78BC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4"/>
        <w:gridCol w:w="870"/>
        <w:gridCol w:w="757"/>
        <w:gridCol w:w="759"/>
        <w:gridCol w:w="759"/>
        <w:gridCol w:w="759"/>
        <w:gridCol w:w="759"/>
        <w:gridCol w:w="759"/>
        <w:gridCol w:w="759"/>
        <w:gridCol w:w="759"/>
        <w:gridCol w:w="1176"/>
      </w:tblGrid>
      <w:tr w:rsidR="00DF78BC" w:rsidRPr="00457B31" w14:paraId="233E0885" w14:textId="77777777" w:rsidTr="00CC3FC2">
        <w:tc>
          <w:tcPr>
            <w:tcW w:w="11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E28602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3BF756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9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8C5458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Chip housing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8C6CFE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Nominal</w:t>
            </w: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Recovery</w:t>
            </w:r>
          </w:p>
        </w:tc>
      </w:tr>
      <w:tr w:rsidR="00DF78BC" w:rsidRPr="00457B31" w14:paraId="4EFE7909" w14:textId="77777777" w:rsidTr="00CC3FC2"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D98B4B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C17FD5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51E21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5AC89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CF4DC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E8D412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1C7029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07A285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F2A90D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4C1E4E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113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337439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78BC" w:rsidRPr="00457B31" w14:paraId="109571DC" w14:textId="77777777" w:rsidTr="00CC3FC2">
        <w:tc>
          <w:tcPr>
            <w:tcW w:w="117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762F4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Ground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017F6E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826C5D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83F79D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BF14FB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94BDF2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47C1CE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E2F45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C3CAA0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4137FC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0DB2EA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DF78BC" w:rsidRPr="00457B31" w14:paraId="6B2C51BF" w14:textId="77777777" w:rsidTr="00CC3FC2">
        <w:tc>
          <w:tcPr>
            <w:tcW w:w="117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3DB6E6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9E7550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075D25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8D418A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181097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1594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0BE71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AE4550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A5D89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73F4F9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9CA8D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DF78BC" w:rsidRPr="00457B31" w14:paraId="058A6EA9" w14:textId="77777777" w:rsidTr="00CC3FC2">
        <w:tc>
          <w:tcPr>
            <w:tcW w:w="117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48F404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Flight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C5F905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EF1E2B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651A16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A675E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0572A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0BA3A4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91AEE8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EFDC8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EB6C74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AC501D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DF78BC" w:rsidRPr="00457B31" w14:paraId="45299B2A" w14:textId="77777777" w:rsidTr="00CC3FC2">
        <w:tc>
          <w:tcPr>
            <w:tcW w:w="117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40244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97BF5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958318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2F28F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00C53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D5A4B8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1CF525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F55F2A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50961C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9BB7CB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E6B7E6" w14:textId="77777777" w:rsidR="00DF78BC" w:rsidRPr="00457B31" w:rsidRDefault="00DF78BC" w:rsidP="00CC3F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</w:tr>
    </w:tbl>
    <w:p w14:paraId="68328554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7531D702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14124C5C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1D0816CD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5A5F84D9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1D785286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2C02A26B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7C1D9E23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1748988F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57115288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4E98082B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397E2E84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38CB5013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sz w:val="24"/>
          <w:szCs w:val="24"/>
        </w:rPr>
        <w:br w:type="page"/>
      </w:r>
    </w:p>
    <w:p w14:paraId="6ACBC5BC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3. </w:t>
      </w:r>
      <w:r w:rsidRPr="00457B31">
        <w:rPr>
          <w:rFonts w:ascii="Times New Roman" w:hAnsi="Times New Roman" w:cs="Times New Roman"/>
          <w:sz w:val="24"/>
          <w:szCs w:val="24"/>
        </w:rPr>
        <w:t>Genes most significantly differentially expressed after 48-hour COM treatment vs. control media treatment in PT-MPS in the flight condition.</w:t>
      </w:r>
    </w:p>
    <w:p w14:paraId="266DBF86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5945D4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6Colorful"/>
        <w:tblpPr w:leftFromText="180" w:rightFromText="180" w:vertAnchor="text" w:horzAnchor="margin" w:tblpXSpec="center" w:tblpY="35"/>
        <w:tblW w:w="8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1137"/>
        <w:gridCol w:w="13"/>
        <w:gridCol w:w="1296"/>
        <w:gridCol w:w="1661"/>
        <w:gridCol w:w="237"/>
        <w:gridCol w:w="1152"/>
        <w:gridCol w:w="1296"/>
        <w:gridCol w:w="1656"/>
        <w:gridCol w:w="12"/>
      </w:tblGrid>
      <w:tr w:rsidR="00DF78BC" w:rsidRPr="00457B31" w14:paraId="50B9DB91" w14:textId="77777777" w:rsidTr="00CC3F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0AD8C12B" w14:textId="77777777" w:rsidR="00DF78BC" w:rsidRPr="00457B31" w:rsidRDefault="00DF78BC" w:rsidP="00CC3FC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23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7385B" w14:textId="77777777" w:rsidR="00DF78BC" w:rsidRPr="00457B31" w:rsidRDefault="00DF78BC" w:rsidP="00CC3FC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Flight COM vs. Flight Control DEGs</w:t>
            </w:r>
          </w:p>
        </w:tc>
      </w:tr>
      <w:tr w:rsidR="00DF78BC" w:rsidRPr="00457B31" w14:paraId="57A0389B" w14:textId="77777777" w:rsidTr="00CC3F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2921B8" w14:textId="77777777" w:rsidR="00DF78BC" w:rsidRPr="00457B31" w:rsidRDefault="00DF78BC" w:rsidP="00CC3FC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9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FF53BB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Upregulated</w:t>
            </w:r>
          </w:p>
        </w:tc>
        <w:tc>
          <w:tcPr>
            <w:tcW w:w="23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F3BF623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1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A5E8850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Downregulated</w:t>
            </w:r>
          </w:p>
        </w:tc>
      </w:tr>
      <w:tr w:rsidR="00DF78BC" w:rsidRPr="00457B31" w14:paraId="7445A876" w14:textId="77777777" w:rsidTr="00CC3FC2">
        <w:trPr>
          <w:gridAfter w:val="1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noWrap/>
            <w:hideMark/>
          </w:tcPr>
          <w:p w14:paraId="38A88074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296" w:type="dxa"/>
            <w:noWrap/>
            <w:hideMark/>
          </w:tcPr>
          <w:p w14:paraId="3354BC6E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Log</w:t>
            </w:r>
            <w:r w:rsidRPr="00457B31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457B31">
              <w:rPr>
                <w:rFonts w:ascii="Times New Roman" w:hAnsi="Times New Roman" w:cs="Times New Roman"/>
                <w:b/>
                <w:bCs/>
              </w:rPr>
              <w:t>FC</w:t>
            </w:r>
          </w:p>
        </w:tc>
        <w:tc>
          <w:tcPr>
            <w:tcW w:w="1661" w:type="dxa"/>
            <w:noWrap/>
            <w:hideMark/>
          </w:tcPr>
          <w:p w14:paraId="54CD9D14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Adj. p-value</w:t>
            </w:r>
          </w:p>
        </w:tc>
        <w:tc>
          <w:tcPr>
            <w:tcW w:w="237" w:type="dxa"/>
          </w:tcPr>
          <w:p w14:paraId="6F0FEF4A" w14:textId="77777777" w:rsidR="00DF78BC" w:rsidRPr="00457B31" w:rsidRDefault="00DF78BC" w:rsidP="00CC3FC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2" w:type="dxa"/>
            <w:tcBorders>
              <w:top w:val="single" w:sz="4" w:space="0" w:color="auto"/>
            </w:tcBorders>
            <w:noWrap/>
            <w:hideMark/>
          </w:tcPr>
          <w:p w14:paraId="515BE0B8" w14:textId="77777777" w:rsidR="00DF78BC" w:rsidRPr="00457B31" w:rsidRDefault="00DF78BC" w:rsidP="00CC3FC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hideMark/>
          </w:tcPr>
          <w:p w14:paraId="4CC8CFFB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Log</w:t>
            </w:r>
            <w:r w:rsidRPr="00457B31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457B31">
              <w:rPr>
                <w:rFonts w:ascii="Times New Roman" w:hAnsi="Times New Roman" w:cs="Times New Roman"/>
                <w:b/>
                <w:bCs/>
              </w:rPr>
              <w:t>FC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noWrap/>
            <w:hideMark/>
          </w:tcPr>
          <w:p w14:paraId="4EDFA18E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457B31">
              <w:rPr>
                <w:rFonts w:ascii="Times New Roman" w:hAnsi="Times New Roman" w:cs="Times New Roman"/>
                <w:b/>
                <w:bCs/>
              </w:rPr>
              <w:t>Adj. p-value</w:t>
            </w:r>
          </w:p>
        </w:tc>
      </w:tr>
      <w:tr w:rsidR="00DF78BC" w:rsidRPr="00457B31" w14:paraId="5304A7E2" w14:textId="77777777" w:rsidTr="00CC3F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shd w:val="clear" w:color="auto" w:fill="D9D9D9" w:themeFill="background1" w:themeFillShade="D9"/>
            <w:vAlign w:val="bottom"/>
          </w:tcPr>
          <w:p w14:paraId="2F5CBBF1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457B3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ADRB2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bottom"/>
          </w:tcPr>
          <w:p w14:paraId="13A2D6CF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661" w:type="dxa"/>
            <w:shd w:val="clear" w:color="auto" w:fill="D9D9D9" w:themeFill="background1" w:themeFillShade="D9"/>
            <w:vAlign w:val="bottom"/>
          </w:tcPr>
          <w:p w14:paraId="691776E6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4.60E-02</w:t>
            </w:r>
          </w:p>
        </w:tc>
        <w:tc>
          <w:tcPr>
            <w:tcW w:w="237" w:type="dxa"/>
            <w:shd w:val="clear" w:color="auto" w:fill="D9D9D9" w:themeFill="background1" w:themeFillShade="D9"/>
          </w:tcPr>
          <w:p w14:paraId="44393C22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2" w:type="dxa"/>
            <w:shd w:val="clear" w:color="auto" w:fill="D9D9D9" w:themeFill="background1" w:themeFillShade="D9"/>
            <w:vAlign w:val="bottom"/>
          </w:tcPr>
          <w:p w14:paraId="62C4B160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457B31">
              <w:rPr>
                <w:rFonts w:ascii="Times New Roman" w:hAnsi="Times New Roman" w:cs="Times New Roman"/>
                <w:i/>
                <w:iCs/>
              </w:rPr>
              <w:t>COL4A3BP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bottom"/>
          </w:tcPr>
          <w:p w14:paraId="2ED5A597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bottom"/>
          </w:tcPr>
          <w:p w14:paraId="553E530B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4.60E-02</w:t>
            </w:r>
          </w:p>
        </w:tc>
      </w:tr>
      <w:tr w:rsidR="00DF78BC" w:rsidRPr="00457B31" w14:paraId="06E37EFC" w14:textId="77777777" w:rsidTr="00CC3FC2">
        <w:trPr>
          <w:gridAfter w:val="1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vAlign w:val="bottom"/>
          </w:tcPr>
          <w:p w14:paraId="74A96F9A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457B3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GPRIN3</w:t>
            </w:r>
          </w:p>
        </w:tc>
        <w:tc>
          <w:tcPr>
            <w:tcW w:w="1296" w:type="dxa"/>
            <w:vAlign w:val="bottom"/>
          </w:tcPr>
          <w:p w14:paraId="232B535E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661" w:type="dxa"/>
            <w:vAlign w:val="bottom"/>
          </w:tcPr>
          <w:p w14:paraId="502A10B1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2.90E-02</w:t>
            </w:r>
          </w:p>
        </w:tc>
        <w:tc>
          <w:tcPr>
            <w:tcW w:w="237" w:type="dxa"/>
          </w:tcPr>
          <w:p w14:paraId="78CF4471" w14:textId="77777777" w:rsidR="00DF78BC" w:rsidRPr="00457B31" w:rsidRDefault="00DF78BC" w:rsidP="00CC3FC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2" w:type="dxa"/>
            <w:vAlign w:val="bottom"/>
          </w:tcPr>
          <w:p w14:paraId="4281A3B4" w14:textId="77777777" w:rsidR="00DF78BC" w:rsidRPr="00457B31" w:rsidRDefault="00DF78BC" w:rsidP="00CC3FC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457B31">
              <w:rPr>
                <w:rFonts w:ascii="Times New Roman" w:hAnsi="Times New Roman" w:cs="Times New Roman"/>
                <w:i/>
                <w:iCs/>
              </w:rPr>
              <w:t>HSPA14</w:t>
            </w:r>
          </w:p>
        </w:tc>
        <w:tc>
          <w:tcPr>
            <w:tcW w:w="1296" w:type="dxa"/>
            <w:vAlign w:val="bottom"/>
          </w:tcPr>
          <w:p w14:paraId="02720597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1656" w:type="dxa"/>
            <w:vAlign w:val="bottom"/>
          </w:tcPr>
          <w:p w14:paraId="6B4D131F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2.90E-02</w:t>
            </w:r>
          </w:p>
        </w:tc>
      </w:tr>
      <w:tr w:rsidR="00DF78BC" w:rsidRPr="00457B31" w14:paraId="62844F0C" w14:textId="77777777" w:rsidTr="00CC3F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shd w:val="clear" w:color="auto" w:fill="D9D9D9" w:themeFill="background1" w:themeFillShade="D9"/>
            <w:vAlign w:val="bottom"/>
          </w:tcPr>
          <w:p w14:paraId="608B312F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457B3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LTBP2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bottom"/>
          </w:tcPr>
          <w:p w14:paraId="56EAB549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661" w:type="dxa"/>
            <w:shd w:val="clear" w:color="auto" w:fill="D9D9D9" w:themeFill="background1" w:themeFillShade="D9"/>
            <w:vAlign w:val="bottom"/>
          </w:tcPr>
          <w:p w14:paraId="053989DD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7.00E-03</w:t>
            </w:r>
          </w:p>
        </w:tc>
        <w:tc>
          <w:tcPr>
            <w:tcW w:w="237" w:type="dxa"/>
            <w:shd w:val="clear" w:color="auto" w:fill="D9D9D9" w:themeFill="background1" w:themeFillShade="D9"/>
          </w:tcPr>
          <w:p w14:paraId="0B6A9CAF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2" w:type="dxa"/>
            <w:shd w:val="clear" w:color="auto" w:fill="D9D9D9" w:themeFill="background1" w:themeFillShade="D9"/>
            <w:vAlign w:val="bottom"/>
          </w:tcPr>
          <w:p w14:paraId="14099E4C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457B31">
              <w:rPr>
                <w:rFonts w:ascii="Times New Roman" w:hAnsi="Times New Roman" w:cs="Times New Roman"/>
                <w:i/>
                <w:iCs/>
              </w:rPr>
              <w:t>LINC01123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bottom"/>
          </w:tcPr>
          <w:p w14:paraId="500A9057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bottom"/>
          </w:tcPr>
          <w:p w14:paraId="4050456D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4.60E-02</w:t>
            </w:r>
          </w:p>
        </w:tc>
      </w:tr>
      <w:tr w:rsidR="00DF78BC" w:rsidRPr="00457B31" w14:paraId="05E175D9" w14:textId="77777777" w:rsidTr="00CC3FC2">
        <w:trPr>
          <w:gridAfter w:val="1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vAlign w:val="bottom"/>
          </w:tcPr>
          <w:p w14:paraId="08D96125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457B31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STK17A</w:t>
            </w:r>
          </w:p>
        </w:tc>
        <w:tc>
          <w:tcPr>
            <w:tcW w:w="1296" w:type="dxa"/>
            <w:vAlign w:val="bottom"/>
          </w:tcPr>
          <w:p w14:paraId="16707D7E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661" w:type="dxa"/>
            <w:vAlign w:val="bottom"/>
          </w:tcPr>
          <w:p w14:paraId="748B1553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7.00E-03</w:t>
            </w:r>
          </w:p>
        </w:tc>
        <w:tc>
          <w:tcPr>
            <w:tcW w:w="237" w:type="dxa"/>
          </w:tcPr>
          <w:p w14:paraId="16BE0718" w14:textId="77777777" w:rsidR="00DF78BC" w:rsidRPr="00457B31" w:rsidRDefault="00DF78BC" w:rsidP="00CC3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2" w:type="dxa"/>
            <w:vAlign w:val="center"/>
          </w:tcPr>
          <w:p w14:paraId="1322D39A" w14:textId="77777777" w:rsidR="00DF78BC" w:rsidRPr="00457B31" w:rsidRDefault="00DF78BC" w:rsidP="00CC3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457B31">
              <w:rPr>
                <w:rFonts w:ascii="Times New Roman" w:hAnsi="Times New Roman" w:cs="Times New Roman"/>
                <w:i/>
                <w:iCs/>
              </w:rPr>
              <w:t>ZNF439</w:t>
            </w:r>
          </w:p>
        </w:tc>
        <w:tc>
          <w:tcPr>
            <w:tcW w:w="1296" w:type="dxa"/>
            <w:vAlign w:val="bottom"/>
          </w:tcPr>
          <w:p w14:paraId="3A1C710B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-0.30</w:t>
            </w:r>
          </w:p>
        </w:tc>
        <w:tc>
          <w:tcPr>
            <w:tcW w:w="1656" w:type="dxa"/>
            <w:vAlign w:val="bottom"/>
          </w:tcPr>
          <w:p w14:paraId="70299261" w14:textId="77777777" w:rsidR="00DF78BC" w:rsidRPr="00457B31" w:rsidRDefault="00DF78BC" w:rsidP="00CC3FC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1.90E-02</w:t>
            </w:r>
          </w:p>
        </w:tc>
      </w:tr>
      <w:tr w:rsidR="00DF78BC" w:rsidRPr="00457B31" w14:paraId="4F424459" w14:textId="77777777" w:rsidTr="00CC3FC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" w:type="dxa"/>
          <w:trHeight w:hRule="exact"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572BACF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D755ACA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A28A4B6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43D633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97D3493" w14:textId="77777777" w:rsidR="00DF78BC" w:rsidRPr="00457B31" w:rsidRDefault="00DF78BC" w:rsidP="00CC3FC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</w:rPr>
            </w:pPr>
            <w:r w:rsidRPr="00457B31">
              <w:rPr>
                <w:rFonts w:ascii="Times New Roman" w:hAnsi="Times New Roman" w:cs="Times New Roman"/>
                <w:i/>
                <w:iCs/>
              </w:rPr>
              <w:t>ZNF470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356C145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241540C" w14:textId="77777777" w:rsidR="00DF78BC" w:rsidRPr="00457B31" w:rsidRDefault="00DF78BC" w:rsidP="00CC3FC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7B31">
              <w:rPr>
                <w:rFonts w:ascii="Times New Roman" w:hAnsi="Times New Roman" w:cs="Times New Roman"/>
              </w:rPr>
              <w:t>3.50E-02</w:t>
            </w:r>
          </w:p>
        </w:tc>
      </w:tr>
      <w:tr w:rsidR="00DF78BC" w:rsidRPr="00457B31" w14:paraId="3AFAB1C2" w14:textId="77777777" w:rsidTr="00CC3FC2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0" w:type="dxa"/>
            <w:gridSpan w:val="9"/>
            <w:tcBorders>
              <w:top w:val="single" w:sz="4" w:space="0" w:color="auto"/>
            </w:tcBorders>
            <w:shd w:val="clear" w:color="auto" w:fill="FFFFFF" w:themeFill="background1"/>
          </w:tcPr>
          <w:p w14:paraId="3C44EB11" w14:textId="77777777" w:rsidR="00DF78BC" w:rsidRPr="00457B31" w:rsidRDefault="00DF78BC" w:rsidP="00CC3FC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457B3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Abbreviations: Log</w:t>
            </w:r>
            <w:r w:rsidRPr="00457B3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457B3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FC, Log</w:t>
            </w:r>
            <w:r w:rsidRPr="00457B3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  <w:t>2</w:t>
            </w:r>
            <w:r w:rsidRPr="00457B3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fold change; Adj p.value, adjusted p.value.</w:t>
            </w:r>
          </w:p>
        </w:tc>
      </w:tr>
    </w:tbl>
    <w:p w14:paraId="3E823D5D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2578E31E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29ADB092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  <w:r w:rsidRPr="00457B31">
        <w:rPr>
          <w:rFonts w:ascii="Times New Roman" w:hAnsi="Times New Roman" w:cs="Times New Roman"/>
          <w:sz w:val="24"/>
          <w:szCs w:val="24"/>
        </w:rPr>
        <w:br w:type="page"/>
      </w:r>
      <w:r w:rsidRPr="00457B3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</w:t>
      </w:r>
      <w:r w:rsidRPr="00457B31">
        <w:rPr>
          <w:rFonts w:ascii="Times New Roman" w:hAnsi="Times New Roman" w:cs="Times New Roman"/>
          <w:sz w:val="24"/>
          <w:szCs w:val="24"/>
        </w:rPr>
        <w:t>. Cellular location and known functions of differentially expressed genes. (from Advaita iPathwayGuide 2024)</w:t>
      </w:r>
    </w:p>
    <w:p w14:paraId="075B8D23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5E421EC0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2"/>
        <w:gridCol w:w="1536"/>
        <w:gridCol w:w="1630"/>
        <w:gridCol w:w="4862"/>
      </w:tblGrid>
      <w:tr w:rsidR="00DF78BC" w:rsidRPr="00457B31" w14:paraId="12548AE7" w14:textId="77777777" w:rsidTr="00CC3FC2"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A29DF1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91F97F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1D59E6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0EA172" w14:textId="77777777" w:rsidR="00DF78BC" w:rsidRPr="00457B31" w:rsidRDefault="00DF78BC" w:rsidP="00CC3F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Possible function</w:t>
            </w:r>
          </w:p>
        </w:tc>
      </w:tr>
      <w:tr w:rsidR="00DF78BC" w:rsidRPr="00457B31" w14:paraId="1592CDEB" w14:textId="77777777" w:rsidTr="00CC3FC2">
        <w:tc>
          <w:tcPr>
            <w:tcW w:w="1332" w:type="dxa"/>
            <w:tcBorders>
              <w:top w:val="single" w:sz="4" w:space="0" w:color="auto"/>
            </w:tcBorders>
          </w:tcPr>
          <w:p w14:paraId="50617664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ADRB2</w:t>
            </w:r>
          </w:p>
        </w:tc>
        <w:tc>
          <w:tcPr>
            <w:tcW w:w="1536" w:type="dxa"/>
            <w:tcBorders>
              <w:top w:val="single" w:sz="4" w:space="0" w:color="auto"/>
            </w:tcBorders>
          </w:tcPr>
          <w:p w14:paraId="4607B631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Adrenoceptor beta 2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30E543CD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Membrane, lysosome, endosome</w:t>
            </w:r>
          </w:p>
        </w:tc>
        <w:tc>
          <w:tcPr>
            <w:tcW w:w="5215" w:type="dxa"/>
            <w:tcBorders>
              <w:top w:val="single" w:sz="4" w:space="0" w:color="auto"/>
            </w:tcBorders>
          </w:tcPr>
          <w:p w14:paraId="6666ECA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Signal transduction pathway associated with ADRB2 is calcium dependent and likely sensitive to elevated free Ca2+ ions.</w:t>
            </w:r>
          </w:p>
        </w:tc>
      </w:tr>
      <w:tr w:rsidR="00DF78BC" w:rsidRPr="00457B31" w14:paraId="2C226682" w14:textId="77777777" w:rsidTr="00CC3FC2">
        <w:tc>
          <w:tcPr>
            <w:tcW w:w="1332" w:type="dxa"/>
            <w:shd w:val="clear" w:color="auto" w:fill="E8E8E8" w:themeFill="background2"/>
          </w:tcPr>
          <w:p w14:paraId="3BF269C4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GPRIN3</w:t>
            </w:r>
          </w:p>
        </w:tc>
        <w:tc>
          <w:tcPr>
            <w:tcW w:w="1536" w:type="dxa"/>
            <w:shd w:val="clear" w:color="auto" w:fill="E8E8E8" w:themeFill="background2"/>
          </w:tcPr>
          <w:p w14:paraId="5DD06349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NR subunit of Ca sensitive NMDA receptor</w:t>
            </w:r>
          </w:p>
        </w:tc>
        <w:tc>
          <w:tcPr>
            <w:tcW w:w="1267" w:type="dxa"/>
            <w:shd w:val="clear" w:color="auto" w:fill="E8E8E8" w:themeFill="background2"/>
          </w:tcPr>
          <w:p w14:paraId="1E7DD49E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Plasma membrane</w:t>
            </w:r>
          </w:p>
        </w:tc>
        <w:tc>
          <w:tcPr>
            <w:tcW w:w="5215" w:type="dxa"/>
            <w:shd w:val="clear" w:color="auto" w:fill="E8E8E8" w:themeFill="background2"/>
          </w:tcPr>
          <w:p w14:paraId="5C5276DB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May assist in the maintenance of epithelial</w:t>
            </w:r>
          </w:p>
          <w:p w14:paraId="62A69802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phenotype in PTECs acting in opposition to inflammatory mediators like TGFβ</w:t>
            </w:r>
          </w:p>
        </w:tc>
      </w:tr>
      <w:tr w:rsidR="00DF78BC" w:rsidRPr="00457B31" w14:paraId="0885B154" w14:textId="77777777" w:rsidTr="00CC3FC2">
        <w:tc>
          <w:tcPr>
            <w:tcW w:w="1332" w:type="dxa"/>
          </w:tcPr>
          <w:p w14:paraId="3EC364A4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LTBP2</w:t>
            </w:r>
          </w:p>
        </w:tc>
        <w:tc>
          <w:tcPr>
            <w:tcW w:w="1536" w:type="dxa"/>
          </w:tcPr>
          <w:p w14:paraId="68F8B221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Latent transforming growth factor beta binding protein 2</w:t>
            </w:r>
          </w:p>
        </w:tc>
        <w:tc>
          <w:tcPr>
            <w:tcW w:w="1267" w:type="dxa"/>
          </w:tcPr>
          <w:p w14:paraId="27D691ED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Extracellular matrix protein</w:t>
            </w:r>
          </w:p>
        </w:tc>
        <w:tc>
          <w:tcPr>
            <w:tcW w:w="5215" w:type="dxa"/>
          </w:tcPr>
          <w:p w14:paraId="6DA90730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Multiple functions including establishment of protein localization to extracellular region which suggests a role in cell adhesion that may be disrupted by interactions with COM crystals.</w:t>
            </w:r>
          </w:p>
        </w:tc>
      </w:tr>
      <w:tr w:rsidR="00DF78BC" w:rsidRPr="00457B31" w14:paraId="1EDA91F6" w14:textId="77777777" w:rsidTr="00CC3FC2">
        <w:tc>
          <w:tcPr>
            <w:tcW w:w="1332" w:type="dxa"/>
            <w:shd w:val="clear" w:color="auto" w:fill="E8E8E8" w:themeFill="background2"/>
          </w:tcPr>
          <w:p w14:paraId="0BF0A4C8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STK17A</w:t>
            </w:r>
          </w:p>
        </w:tc>
        <w:tc>
          <w:tcPr>
            <w:tcW w:w="1536" w:type="dxa"/>
            <w:shd w:val="clear" w:color="auto" w:fill="E8E8E8" w:themeFill="background2"/>
          </w:tcPr>
          <w:p w14:paraId="29EE4827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DAP kinase-related apoptosis-inducing protein kinase</w:t>
            </w:r>
          </w:p>
        </w:tc>
        <w:tc>
          <w:tcPr>
            <w:tcW w:w="1267" w:type="dxa"/>
            <w:shd w:val="clear" w:color="auto" w:fill="E8E8E8" w:themeFill="background2"/>
          </w:tcPr>
          <w:p w14:paraId="3552BC30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Nucleus, cytoplasm</w:t>
            </w:r>
          </w:p>
        </w:tc>
        <w:tc>
          <w:tcPr>
            <w:tcW w:w="5215" w:type="dxa"/>
            <w:shd w:val="clear" w:color="auto" w:fill="E8E8E8" w:themeFill="background2"/>
          </w:tcPr>
          <w:p w14:paraId="420A43DF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Positive regulation of apoptotic and reactive oxygen species metabolic processes.</w:t>
            </w:r>
          </w:p>
        </w:tc>
      </w:tr>
      <w:tr w:rsidR="00DF78BC" w:rsidRPr="00457B31" w14:paraId="6BA3D62C" w14:textId="77777777" w:rsidTr="00CC3FC2">
        <w:tc>
          <w:tcPr>
            <w:tcW w:w="1332" w:type="dxa"/>
          </w:tcPr>
          <w:p w14:paraId="421E5CF0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CERT1</w:t>
            </w:r>
          </w:p>
        </w:tc>
        <w:tc>
          <w:tcPr>
            <w:tcW w:w="1536" w:type="dxa"/>
          </w:tcPr>
          <w:p w14:paraId="21E04379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Ceramide transporter 1</w:t>
            </w:r>
          </w:p>
        </w:tc>
        <w:tc>
          <w:tcPr>
            <w:tcW w:w="1267" w:type="dxa"/>
          </w:tcPr>
          <w:p w14:paraId="33893C18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Intracellular (Golgi), nucleus, ER</w:t>
            </w:r>
          </w:p>
        </w:tc>
        <w:tc>
          <w:tcPr>
            <w:tcW w:w="5215" w:type="dxa"/>
          </w:tcPr>
          <w:p w14:paraId="32D334F8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Lipid transfer protein that delivers ceramide from the endoplasmic reticulum to the Golgi apparatus (sphingomyelin synthesis).</w:t>
            </w:r>
          </w:p>
        </w:tc>
      </w:tr>
      <w:tr w:rsidR="00DF78BC" w:rsidRPr="00457B31" w14:paraId="327F90A5" w14:textId="77777777" w:rsidTr="00CC3FC2">
        <w:tc>
          <w:tcPr>
            <w:tcW w:w="1332" w:type="dxa"/>
            <w:shd w:val="clear" w:color="auto" w:fill="E8E8E8" w:themeFill="background2"/>
          </w:tcPr>
          <w:p w14:paraId="075C4C26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HSPA14.2</w:t>
            </w:r>
          </w:p>
        </w:tc>
        <w:tc>
          <w:tcPr>
            <w:tcW w:w="1536" w:type="dxa"/>
            <w:shd w:val="clear" w:color="auto" w:fill="E8E8E8" w:themeFill="background2"/>
          </w:tcPr>
          <w:p w14:paraId="7AE21283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Heat shock protein</w:t>
            </w:r>
          </w:p>
        </w:tc>
        <w:tc>
          <w:tcPr>
            <w:tcW w:w="1267" w:type="dxa"/>
            <w:shd w:val="clear" w:color="auto" w:fill="E8E8E8" w:themeFill="background2"/>
          </w:tcPr>
          <w:p w14:paraId="4DED1B1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Cytoplasm</w:t>
            </w:r>
          </w:p>
        </w:tc>
        <w:tc>
          <w:tcPr>
            <w:tcW w:w="5215" w:type="dxa"/>
            <w:shd w:val="clear" w:color="auto" w:fill="E8E8E8" w:themeFill="background2"/>
          </w:tcPr>
          <w:p w14:paraId="1C34D943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 xml:space="preserve">Chaperone protein which plays a role in cellular response to stress </w:t>
            </w:r>
          </w:p>
        </w:tc>
      </w:tr>
      <w:tr w:rsidR="00DF78BC" w:rsidRPr="00457B31" w14:paraId="74C0C85A" w14:textId="77777777" w:rsidTr="00CC3FC2">
        <w:tc>
          <w:tcPr>
            <w:tcW w:w="1332" w:type="dxa"/>
          </w:tcPr>
          <w:p w14:paraId="62DCD159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LINC01123</w:t>
            </w:r>
          </w:p>
        </w:tc>
        <w:tc>
          <w:tcPr>
            <w:tcW w:w="1536" w:type="dxa"/>
          </w:tcPr>
          <w:p w14:paraId="4C582124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Long intergenic non-protein coding RNA</w:t>
            </w:r>
          </w:p>
        </w:tc>
        <w:tc>
          <w:tcPr>
            <w:tcW w:w="1267" w:type="dxa"/>
          </w:tcPr>
          <w:p w14:paraId="6BFC4BCD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Nucleus, mitochondrion</w:t>
            </w:r>
          </w:p>
        </w:tc>
        <w:tc>
          <w:tcPr>
            <w:tcW w:w="5215" w:type="dxa"/>
          </w:tcPr>
          <w:p w14:paraId="48F4DCA0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</w:tr>
      <w:tr w:rsidR="00DF78BC" w:rsidRPr="00457B31" w14:paraId="496BBCC2" w14:textId="77777777" w:rsidTr="00CC3FC2">
        <w:tc>
          <w:tcPr>
            <w:tcW w:w="1332" w:type="dxa"/>
            <w:shd w:val="clear" w:color="auto" w:fill="E8E8E8" w:themeFill="background2"/>
          </w:tcPr>
          <w:p w14:paraId="22D329EC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ZNF439</w:t>
            </w:r>
          </w:p>
        </w:tc>
        <w:tc>
          <w:tcPr>
            <w:tcW w:w="1536" w:type="dxa"/>
            <w:shd w:val="clear" w:color="auto" w:fill="E8E8E8" w:themeFill="background2"/>
          </w:tcPr>
          <w:p w14:paraId="19FBF4B7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Zinc finger</w:t>
            </w:r>
          </w:p>
          <w:p w14:paraId="71E7C9DF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267" w:type="dxa"/>
            <w:shd w:val="clear" w:color="auto" w:fill="E8E8E8" w:themeFill="background2"/>
          </w:tcPr>
          <w:p w14:paraId="6438757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Nucleus</w:t>
            </w:r>
          </w:p>
        </w:tc>
        <w:tc>
          <w:tcPr>
            <w:tcW w:w="5215" w:type="dxa"/>
            <w:shd w:val="clear" w:color="auto" w:fill="E8E8E8" w:themeFill="background2"/>
          </w:tcPr>
          <w:p w14:paraId="64FEF6AC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Regulation of RNA biosynthetic</w:t>
            </w:r>
          </w:p>
          <w:p w14:paraId="244A1747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processes, RNA metabolic processes, transcription by RNA polymerase II</w:t>
            </w:r>
          </w:p>
        </w:tc>
      </w:tr>
      <w:tr w:rsidR="00DF78BC" w:rsidRPr="00457B31" w14:paraId="57DBA94D" w14:textId="77777777" w:rsidTr="00CC3FC2">
        <w:tc>
          <w:tcPr>
            <w:tcW w:w="1332" w:type="dxa"/>
            <w:tcBorders>
              <w:bottom w:val="single" w:sz="4" w:space="0" w:color="auto"/>
            </w:tcBorders>
          </w:tcPr>
          <w:p w14:paraId="453540A2" w14:textId="77777777" w:rsidR="00DF78BC" w:rsidRPr="00457B31" w:rsidRDefault="00DF78BC" w:rsidP="00CC3FC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26FD5EBF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Zinc finger</w:t>
            </w:r>
          </w:p>
          <w:p w14:paraId="61287B55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691063B0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Nucleus</w:t>
            </w:r>
          </w:p>
        </w:tc>
        <w:tc>
          <w:tcPr>
            <w:tcW w:w="5215" w:type="dxa"/>
            <w:tcBorders>
              <w:bottom w:val="single" w:sz="4" w:space="0" w:color="auto"/>
            </w:tcBorders>
          </w:tcPr>
          <w:p w14:paraId="34CD41C9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Regulation of RNA biosynthetic</w:t>
            </w:r>
          </w:p>
          <w:p w14:paraId="4161969C" w14:textId="77777777" w:rsidR="00DF78BC" w:rsidRPr="00457B31" w:rsidRDefault="00DF78BC" w:rsidP="00CC3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B31">
              <w:rPr>
                <w:rFonts w:ascii="Times New Roman" w:hAnsi="Times New Roman" w:cs="Times New Roman"/>
                <w:sz w:val="24"/>
                <w:szCs w:val="24"/>
              </w:rPr>
              <w:t>processes, RNA metabolic processes, transcription by RNA polymerase II</w:t>
            </w:r>
          </w:p>
        </w:tc>
      </w:tr>
    </w:tbl>
    <w:p w14:paraId="20FAC584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4F782AED" w14:textId="77777777" w:rsidR="00DF78BC" w:rsidRPr="00457B31" w:rsidRDefault="00DF78BC" w:rsidP="00DF78BC">
      <w:pPr>
        <w:rPr>
          <w:rFonts w:ascii="Times New Roman" w:hAnsi="Times New Roman" w:cs="Times New Roman"/>
          <w:sz w:val="24"/>
          <w:szCs w:val="24"/>
        </w:rPr>
      </w:pPr>
    </w:p>
    <w:p w14:paraId="09C1E53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8BC"/>
    <w:rsid w:val="003C2EF4"/>
    <w:rsid w:val="00446799"/>
    <w:rsid w:val="006A7E07"/>
    <w:rsid w:val="00701021"/>
    <w:rsid w:val="00B10A67"/>
    <w:rsid w:val="00B74216"/>
    <w:rsid w:val="00D62F8C"/>
    <w:rsid w:val="00DF78B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D6D1E"/>
  <w15:chartTrackingRefBased/>
  <w15:docId w15:val="{62AA4217-48CC-4F1A-843D-AE4EF3306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8B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78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8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8B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8B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78B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78B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78B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78B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78B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7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8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78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78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78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78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78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78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7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78B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7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78B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F78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78B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DF78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7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8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78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78B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">
    <w:name w:val="Grid Table 6 Colorful"/>
    <w:basedOn w:val="TableNormal"/>
    <w:uiPriority w:val="51"/>
    <w:rsid w:val="00DF78BC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483</Words>
  <Characters>2759</Characters>
  <Application>Microsoft Office Word</Application>
  <DocSecurity>0</DocSecurity>
  <Lines>22</Lines>
  <Paragraphs>6</Paragraphs>
  <ScaleCrop>false</ScaleCrop>
  <Company>Springer Nature</Company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2025-06-27T12:36:00Z</dcterms:created>
  <dcterms:modified xsi:type="dcterms:W3CDTF">2025-06-27T12:36:00Z</dcterms:modified>
</cp:coreProperties>
</file>