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1B3A" w14:textId="77777777" w:rsidR="002C64B6" w:rsidRDefault="002C64B6" w:rsidP="002C64B6">
      <w:pPr>
        <w:pStyle w:val="Bibliography"/>
        <w:rPr>
          <w:rFonts w:ascii="Arial" w:hAnsi="Arial" w:cs="Arial"/>
        </w:rPr>
      </w:pPr>
      <w:r>
        <w:rPr>
          <w:rFonts w:ascii="Arial" w:hAnsi="Arial" w:cs="Arial"/>
        </w:rPr>
        <w:t>Appendix</w:t>
      </w:r>
    </w:p>
    <w:p w14:paraId="57D463CC" w14:textId="77777777" w:rsidR="002C64B6" w:rsidRPr="00A57AB5" w:rsidRDefault="002C64B6" w:rsidP="002C64B6">
      <w:pPr>
        <w:jc w:val="both"/>
        <w:rPr>
          <w:rFonts w:ascii="Arial" w:hAnsi="Arial" w:cs="Arial"/>
          <w:i/>
          <w:iCs/>
        </w:rPr>
      </w:pPr>
      <w:r w:rsidRPr="00A57AB5">
        <w:rPr>
          <w:rFonts w:ascii="Arial" w:hAnsi="Arial" w:cs="Arial"/>
          <w:i/>
          <w:iCs/>
        </w:rPr>
        <w:t>Inclusion and exclusion criteria</w:t>
      </w:r>
    </w:p>
    <w:p w14:paraId="0A058040" w14:textId="77777777" w:rsidR="002C64B6" w:rsidRPr="00A57AB5" w:rsidRDefault="002C64B6" w:rsidP="002C64B6">
      <w:pPr>
        <w:jc w:val="both"/>
        <w:rPr>
          <w:rFonts w:ascii="Arial" w:hAnsi="Arial" w:cs="Arial"/>
        </w:rPr>
      </w:pPr>
      <w:r w:rsidRPr="00A57AB5">
        <w:rPr>
          <w:rFonts w:ascii="Arial" w:hAnsi="Arial" w:cs="Arial"/>
        </w:rPr>
        <w:t>The inclusion criteria for participation in the study were: oral informed consent of the head of household, and residence in the selected household (defined as people regularly eating together) for at least four weeks prior to the survey date.</w:t>
      </w:r>
    </w:p>
    <w:p w14:paraId="1015C363" w14:textId="77777777" w:rsidR="002C64B6" w:rsidRPr="00A57AB5" w:rsidRDefault="002C64B6" w:rsidP="002C64B6">
      <w:pPr>
        <w:jc w:val="both"/>
        <w:rPr>
          <w:rFonts w:ascii="Arial" w:hAnsi="Arial" w:cs="Arial"/>
        </w:rPr>
      </w:pPr>
      <w:r w:rsidRPr="00A57AB5">
        <w:rPr>
          <w:rFonts w:ascii="Arial" w:hAnsi="Arial" w:cs="Arial"/>
        </w:rPr>
        <w:t>The exclusion criteria were: refusal to participate, or the absence of the head-of-household (or other responsible adult) at two separate visits to the household. The head-of-household or other responsible adult was defined as an individual aged 18 years or older residing in the household during the recall period, being present at the time of the survey, and able to answer questions about individual household members. Households in which no member fulfilled these criteria were excluded.</w:t>
      </w:r>
    </w:p>
    <w:p w14:paraId="2DF55FEB" w14:textId="77777777" w:rsidR="002C64B6" w:rsidRPr="00A57AB5" w:rsidRDefault="002C64B6" w:rsidP="002C64B6">
      <w:pPr>
        <w:jc w:val="both"/>
        <w:rPr>
          <w:rFonts w:ascii="Arial" w:hAnsi="Arial" w:cs="Arial"/>
          <w:i/>
          <w:iCs/>
        </w:rPr>
      </w:pPr>
      <w:r w:rsidRPr="00A57AB5">
        <w:rPr>
          <w:rFonts w:ascii="Arial" w:hAnsi="Arial" w:cs="Arial"/>
          <w:i/>
          <w:iCs/>
        </w:rPr>
        <w:t>Sample size</w:t>
      </w:r>
    </w:p>
    <w:p w14:paraId="396D81A1" w14:textId="77777777" w:rsidR="002C64B6" w:rsidRPr="00A57AB5" w:rsidRDefault="002C64B6" w:rsidP="002C64B6">
      <w:pPr>
        <w:jc w:val="both"/>
        <w:rPr>
          <w:rFonts w:ascii="Arial" w:hAnsi="Arial" w:cs="Arial"/>
        </w:rPr>
      </w:pPr>
      <w:r w:rsidRPr="00A57AB5">
        <w:rPr>
          <w:rFonts w:ascii="Arial" w:hAnsi="Arial" w:cs="Arial"/>
        </w:rPr>
        <w:t xml:space="preserve">The sample size was calculated by assuming a MSMR of 0.3 per 1000 person-days, with precision of ±0.2, design effect of 1.5, recall period of 143 days, mean household size of five persons, and 10% non-response. Using </w:t>
      </w:r>
      <w:r w:rsidRPr="00A57AB5">
        <w:rPr>
          <w:rStyle w:val="Strong"/>
          <w:rFonts w:ascii="Arial" w:hAnsi="Arial" w:cs="Arial"/>
          <w:shd w:val="clear" w:color="auto" w:fill="FFFFFF"/>
        </w:rPr>
        <w:t xml:space="preserve">Emergency Nutrition Assessment </w:t>
      </w:r>
      <w:r w:rsidRPr="00A57AB5">
        <w:rPr>
          <w:rFonts w:ascii="Arial" w:hAnsi="Arial" w:cs="Arial"/>
        </w:rPr>
        <w:t xml:space="preserve">software </w:t>
      </w:r>
      <w:r w:rsidRPr="00A57AB5">
        <w:rPr>
          <w:rFonts w:ascii="Arial" w:hAnsi="Arial" w:cs="Arial"/>
          <w:noProof/>
        </w:rPr>
        <w:t>[8], t</w:t>
      </w:r>
      <w:r w:rsidRPr="00A57AB5">
        <w:rPr>
          <w:rFonts w:ascii="Arial" w:hAnsi="Arial" w:cs="Arial"/>
        </w:rPr>
        <w:t>hese parameters yielded a minimum sample size of 731 households (3290 individuals). To ensure a wide geographic distribution, 25 households in each of 40 clusters (5000 individuals in 1000 households) were targeted.</w:t>
      </w:r>
    </w:p>
    <w:p w14:paraId="3912CD5D" w14:textId="77777777" w:rsidR="002C64B6" w:rsidRPr="00DF17DD" w:rsidRDefault="002C64B6" w:rsidP="002C64B6"/>
    <w:p w14:paraId="6575F435" w14:textId="77777777" w:rsidR="00755780" w:rsidRDefault="00755780"/>
    <w:sectPr w:rsidR="00755780" w:rsidSect="002C64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4B6"/>
    <w:rsid w:val="00011C58"/>
    <w:rsid w:val="0006021D"/>
    <w:rsid w:val="00210F31"/>
    <w:rsid w:val="002C64B6"/>
    <w:rsid w:val="00331A6B"/>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C9E2F"/>
  <w15:chartTrackingRefBased/>
  <w15:docId w15:val="{409AD1CE-DAA1-425C-8C55-C2D1E8EF7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4B6"/>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2C64B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2C64B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2C64B6"/>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2C64B6"/>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2C64B6"/>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2C64B6"/>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2C64B6"/>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2C64B6"/>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2C64B6"/>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64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64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64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64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64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64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64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64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64B6"/>
    <w:rPr>
      <w:rFonts w:eastAsiaTheme="majorEastAsia" w:cstheme="majorBidi"/>
      <w:color w:val="272727" w:themeColor="text1" w:themeTint="D8"/>
    </w:rPr>
  </w:style>
  <w:style w:type="paragraph" w:styleId="Title">
    <w:name w:val="Title"/>
    <w:basedOn w:val="Normal"/>
    <w:next w:val="Normal"/>
    <w:link w:val="TitleChar"/>
    <w:uiPriority w:val="10"/>
    <w:qFormat/>
    <w:rsid w:val="002C64B6"/>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2C64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64B6"/>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2C64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64B6"/>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2C64B6"/>
    <w:rPr>
      <w:i/>
      <w:iCs/>
      <w:color w:val="404040" w:themeColor="text1" w:themeTint="BF"/>
    </w:rPr>
  </w:style>
  <w:style w:type="paragraph" w:styleId="ListParagraph">
    <w:name w:val="List Paragraph"/>
    <w:basedOn w:val="Normal"/>
    <w:uiPriority w:val="34"/>
    <w:qFormat/>
    <w:rsid w:val="002C64B6"/>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2C64B6"/>
    <w:rPr>
      <w:i/>
      <w:iCs/>
      <w:color w:val="0F4761" w:themeColor="accent1" w:themeShade="BF"/>
    </w:rPr>
  </w:style>
  <w:style w:type="paragraph" w:styleId="IntenseQuote">
    <w:name w:val="Intense Quote"/>
    <w:basedOn w:val="Normal"/>
    <w:next w:val="Normal"/>
    <w:link w:val="IntenseQuoteChar"/>
    <w:uiPriority w:val="30"/>
    <w:qFormat/>
    <w:rsid w:val="002C64B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2C64B6"/>
    <w:rPr>
      <w:i/>
      <w:iCs/>
      <w:color w:val="0F4761" w:themeColor="accent1" w:themeShade="BF"/>
    </w:rPr>
  </w:style>
  <w:style w:type="character" w:styleId="IntenseReference">
    <w:name w:val="Intense Reference"/>
    <w:basedOn w:val="DefaultParagraphFont"/>
    <w:uiPriority w:val="32"/>
    <w:qFormat/>
    <w:rsid w:val="002C64B6"/>
    <w:rPr>
      <w:b/>
      <w:bCs/>
      <w:smallCaps/>
      <w:color w:val="0F4761" w:themeColor="accent1" w:themeShade="BF"/>
      <w:spacing w:val="5"/>
    </w:rPr>
  </w:style>
  <w:style w:type="paragraph" w:styleId="Bibliography">
    <w:name w:val="Bibliography"/>
    <w:basedOn w:val="Normal"/>
    <w:next w:val="Normal"/>
    <w:uiPriority w:val="37"/>
    <w:semiHidden/>
    <w:unhideWhenUsed/>
    <w:rsid w:val="002C64B6"/>
  </w:style>
  <w:style w:type="character" w:styleId="Strong">
    <w:name w:val="Strong"/>
    <w:basedOn w:val="DefaultParagraphFont"/>
    <w:uiPriority w:val="22"/>
    <w:qFormat/>
    <w:rsid w:val="002C64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1082</Characters>
  <Application>Microsoft Office Word</Application>
  <DocSecurity>0</DocSecurity>
  <Lines>9</Lines>
  <Paragraphs>2</Paragraphs>
  <ScaleCrop>false</ScaleCrop>
  <Company>Springer Nature</Company>
  <LinksUpToDate>false</LinksUpToDate>
  <CharactersWithSpaces>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2025-06-13T05:02:00Z</dcterms:created>
  <dcterms:modified xsi:type="dcterms:W3CDTF">2025-06-13T05:02:00Z</dcterms:modified>
</cp:coreProperties>
</file>