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0A52" w14:textId="77777777" w:rsidR="006E31F7" w:rsidRPr="0075447D" w:rsidRDefault="00000000" w:rsidP="0075447D">
      <w:pPr>
        <w:ind w:firstLineChars="0" w:firstLine="0"/>
        <w:jc w:val="center"/>
        <w:rPr>
          <w:b/>
          <w:bCs/>
          <w:sz w:val="32"/>
          <w:szCs w:val="32"/>
        </w:rPr>
      </w:pPr>
      <w:r w:rsidRPr="0075447D">
        <w:rPr>
          <w:b/>
          <w:bCs/>
          <w:sz w:val="32"/>
          <w:szCs w:val="32"/>
        </w:rPr>
        <w:t>PVB synthesis experiment</w:t>
      </w:r>
    </w:p>
    <w:p w14:paraId="7815EBEA" w14:textId="75D32305" w:rsidR="006E31F7" w:rsidRPr="0075447D" w:rsidRDefault="0075447D" w:rsidP="0075447D">
      <w:pPr>
        <w:ind w:firstLineChars="0" w:firstLine="0"/>
        <w:rPr>
          <w:b/>
          <w:bCs/>
          <w:sz w:val="32"/>
          <w:szCs w:val="32"/>
        </w:rPr>
      </w:pPr>
      <w:r w:rsidRPr="0075447D">
        <w:rPr>
          <w:rFonts w:hint="eastAsia"/>
          <w:b/>
          <w:bCs/>
          <w:sz w:val="32"/>
          <w:szCs w:val="32"/>
        </w:rPr>
        <w:t>1.</w:t>
      </w:r>
      <w:r>
        <w:rPr>
          <w:b/>
          <w:bCs/>
          <w:sz w:val="32"/>
          <w:szCs w:val="32"/>
        </w:rPr>
        <w:t xml:space="preserve"> </w:t>
      </w:r>
      <w:r w:rsidRPr="0075447D">
        <w:rPr>
          <w:b/>
          <w:bCs/>
          <w:sz w:val="32"/>
          <w:szCs w:val="32"/>
        </w:rPr>
        <w:t xml:space="preserve">Experimental </w:t>
      </w:r>
      <w:proofErr w:type="spellStart"/>
      <w:r w:rsidRPr="0075447D">
        <w:rPr>
          <w:b/>
          <w:bCs/>
          <w:sz w:val="32"/>
          <w:szCs w:val="32"/>
        </w:rPr>
        <w:t>Equipment</w:t>
      </w:r>
      <w:r w:rsidRPr="0075447D">
        <w:rPr>
          <w:rFonts w:hint="eastAsia"/>
          <w:b/>
          <w:bCs/>
          <w:sz w:val="32"/>
          <w:szCs w:val="32"/>
        </w:rPr>
        <w:t>s</w:t>
      </w:r>
      <w:proofErr w:type="spellEnd"/>
    </w:p>
    <w:p w14:paraId="7C086139" w14:textId="599EC06D" w:rsidR="006E31F7" w:rsidRDefault="00875046">
      <w:pPr>
        <w:ind w:firstLine="480"/>
      </w:pPr>
      <w:r w:rsidRPr="00875046">
        <w:t>This study presents the experimental design, PVB synthesis procedures, and the various equipment and instruments used for response surface methodology (RSM) and machine learning modeling. Particular attention is given to the sequence of instrument usage, their specific applications, and corresponding operational procedures.</w:t>
      </w:r>
    </w:p>
    <w:p w14:paraId="1CF397E5" w14:textId="191E5281" w:rsidR="00875046" w:rsidRPr="00C33191" w:rsidRDefault="00875046" w:rsidP="00337B41">
      <w:pPr>
        <w:ind w:firstLineChars="0" w:firstLine="0"/>
      </w:pPr>
      <w:r w:rsidRPr="00337B41">
        <w:rPr>
          <w:b/>
          <w:bCs/>
        </w:rPr>
        <w:t>Table 1</w:t>
      </w:r>
      <w:r w:rsidR="00297D33" w:rsidRPr="00337B41">
        <w:rPr>
          <w:rFonts w:hint="eastAsia"/>
          <w:b/>
          <w:bCs/>
        </w:rPr>
        <w:t>.</w:t>
      </w:r>
      <w:r w:rsidR="00297D33">
        <w:rPr>
          <w:rFonts w:hint="eastAsia"/>
        </w:rPr>
        <w:t xml:space="preserve"> </w:t>
      </w:r>
      <w:r w:rsidRPr="00C33191">
        <w:t>Experimental Equipment Information</w:t>
      </w:r>
      <w:r w:rsidR="007E26E5" w:rsidRPr="00C33191">
        <w:rPr>
          <w:rFonts w:hint="eastAsia"/>
        </w:rPr>
        <w:t>.</w:t>
      </w:r>
    </w:p>
    <w:tbl>
      <w:tblPr>
        <w:tblW w:w="0" w:type="auto"/>
        <w:tblLook w:val="04A0" w:firstRow="1" w:lastRow="0" w:firstColumn="1" w:lastColumn="0" w:noHBand="0" w:noVBand="1"/>
      </w:tblPr>
      <w:tblGrid>
        <w:gridCol w:w="2278"/>
        <w:gridCol w:w="3370"/>
        <w:gridCol w:w="3310"/>
      </w:tblGrid>
      <w:tr w:rsidR="00875046" w:rsidRPr="00450FBD" w14:paraId="7EDFDF37" w14:textId="77777777" w:rsidTr="00450FBD">
        <w:tc>
          <w:tcPr>
            <w:tcW w:w="0" w:type="auto"/>
            <w:tcBorders>
              <w:top w:val="single" w:sz="12" w:space="0" w:color="auto"/>
              <w:bottom w:val="single" w:sz="8" w:space="0" w:color="auto"/>
            </w:tcBorders>
            <w:vAlign w:val="center"/>
            <w:hideMark/>
          </w:tcPr>
          <w:p w14:paraId="632EC769" w14:textId="77777777" w:rsidR="00875046" w:rsidRPr="00450FBD" w:rsidRDefault="00875046" w:rsidP="00875046">
            <w:pPr>
              <w:ind w:firstLineChars="0" w:firstLine="0"/>
              <w:jc w:val="left"/>
              <w:rPr>
                <w:sz w:val="21"/>
                <w:szCs w:val="21"/>
              </w:rPr>
            </w:pPr>
            <w:bookmarkStart w:id="0" w:name="OLE_LINK44"/>
            <w:r w:rsidRPr="00450FBD">
              <w:rPr>
                <w:sz w:val="21"/>
                <w:szCs w:val="21"/>
              </w:rPr>
              <w:t>Equipment</w:t>
            </w:r>
          </w:p>
        </w:tc>
        <w:tc>
          <w:tcPr>
            <w:tcW w:w="0" w:type="auto"/>
            <w:tcBorders>
              <w:top w:val="single" w:sz="12" w:space="0" w:color="auto"/>
              <w:bottom w:val="single" w:sz="8" w:space="0" w:color="auto"/>
            </w:tcBorders>
            <w:vAlign w:val="center"/>
            <w:hideMark/>
          </w:tcPr>
          <w:p w14:paraId="14A4FECF" w14:textId="77777777" w:rsidR="00875046" w:rsidRPr="00450FBD" w:rsidRDefault="00875046" w:rsidP="00875046">
            <w:pPr>
              <w:ind w:firstLineChars="0" w:firstLine="0"/>
              <w:jc w:val="left"/>
              <w:rPr>
                <w:sz w:val="21"/>
                <w:szCs w:val="21"/>
              </w:rPr>
            </w:pPr>
            <w:r w:rsidRPr="00450FBD">
              <w:rPr>
                <w:sz w:val="21"/>
                <w:szCs w:val="21"/>
              </w:rPr>
              <w:t>Model</w:t>
            </w:r>
          </w:p>
        </w:tc>
        <w:tc>
          <w:tcPr>
            <w:tcW w:w="0" w:type="auto"/>
            <w:tcBorders>
              <w:top w:val="single" w:sz="12" w:space="0" w:color="auto"/>
              <w:bottom w:val="single" w:sz="8" w:space="0" w:color="auto"/>
            </w:tcBorders>
            <w:vAlign w:val="center"/>
            <w:hideMark/>
          </w:tcPr>
          <w:p w14:paraId="18D001C0" w14:textId="77777777" w:rsidR="00875046" w:rsidRPr="00450FBD" w:rsidRDefault="00875046" w:rsidP="00875046">
            <w:pPr>
              <w:ind w:firstLineChars="0" w:firstLine="0"/>
              <w:jc w:val="left"/>
              <w:rPr>
                <w:sz w:val="21"/>
                <w:szCs w:val="21"/>
              </w:rPr>
            </w:pPr>
            <w:r w:rsidRPr="00450FBD">
              <w:rPr>
                <w:sz w:val="21"/>
                <w:szCs w:val="21"/>
              </w:rPr>
              <w:t>Application</w:t>
            </w:r>
          </w:p>
        </w:tc>
      </w:tr>
      <w:tr w:rsidR="00875046" w:rsidRPr="00450FBD" w14:paraId="107831FC" w14:textId="77777777" w:rsidTr="00450FBD">
        <w:tc>
          <w:tcPr>
            <w:tcW w:w="0" w:type="auto"/>
            <w:tcBorders>
              <w:top w:val="single" w:sz="8" w:space="0" w:color="auto"/>
            </w:tcBorders>
            <w:vAlign w:val="center"/>
            <w:hideMark/>
          </w:tcPr>
          <w:p w14:paraId="6D833138" w14:textId="77777777" w:rsidR="00875046" w:rsidRPr="00450FBD" w:rsidRDefault="00875046" w:rsidP="00875046">
            <w:pPr>
              <w:ind w:firstLineChars="0" w:firstLine="0"/>
              <w:jc w:val="left"/>
              <w:rPr>
                <w:sz w:val="21"/>
                <w:szCs w:val="21"/>
              </w:rPr>
            </w:pPr>
            <w:r w:rsidRPr="00450FBD">
              <w:rPr>
                <w:sz w:val="21"/>
                <w:szCs w:val="21"/>
              </w:rPr>
              <w:t>Constant temperature stirrer</w:t>
            </w:r>
          </w:p>
        </w:tc>
        <w:tc>
          <w:tcPr>
            <w:tcW w:w="0" w:type="auto"/>
            <w:tcBorders>
              <w:top w:val="single" w:sz="8" w:space="0" w:color="auto"/>
            </w:tcBorders>
            <w:vAlign w:val="center"/>
            <w:hideMark/>
          </w:tcPr>
          <w:p w14:paraId="5D043571" w14:textId="77777777" w:rsidR="00875046" w:rsidRPr="00450FBD" w:rsidRDefault="00875046" w:rsidP="00875046">
            <w:pPr>
              <w:ind w:firstLineChars="0" w:firstLine="0"/>
              <w:jc w:val="left"/>
              <w:rPr>
                <w:sz w:val="21"/>
                <w:szCs w:val="21"/>
              </w:rPr>
            </w:pPr>
            <w:r w:rsidRPr="00450FBD">
              <w:rPr>
                <w:sz w:val="21"/>
                <w:szCs w:val="21"/>
              </w:rPr>
              <w:t>Digital 6-position multi-head magnetic heating temperature-controlled stirrer</w:t>
            </w:r>
          </w:p>
        </w:tc>
        <w:tc>
          <w:tcPr>
            <w:tcW w:w="0" w:type="auto"/>
            <w:tcBorders>
              <w:top w:val="single" w:sz="8" w:space="0" w:color="auto"/>
            </w:tcBorders>
            <w:vAlign w:val="center"/>
            <w:hideMark/>
          </w:tcPr>
          <w:p w14:paraId="058312E3" w14:textId="77777777" w:rsidR="00875046" w:rsidRPr="00450FBD" w:rsidRDefault="00875046" w:rsidP="00875046">
            <w:pPr>
              <w:ind w:firstLineChars="0" w:firstLine="0"/>
              <w:jc w:val="left"/>
              <w:rPr>
                <w:sz w:val="21"/>
                <w:szCs w:val="21"/>
              </w:rPr>
            </w:pPr>
            <w:r w:rsidRPr="00450FBD">
              <w:rPr>
                <w:sz w:val="21"/>
                <w:szCs w:val="21"/>
              </w:rPr>
              <w:t>Reaction vessel for PVB synthesis experiments</w:t>
            </w:r>
          </w:p>
        </w:tc>
      </w:tr>
      <w:tr w:rsidR="00875046" w:rsidRPr="00450FBD" w14:paraId="3FD6E9DB" w14:textId="77777777" w:rsidTr="00450FBD">
        <w:tc>
          <w:tcPr>
            <w:tcW w:w="0" w:type="auto"/>
            <w:vAlign w:val="center"/>
            <w:hideMark/>
          </w:tcPr>
          <w:p w14:paraId="6E2247C4" w14:textId="77777777" w:rsidR="00875046" w:rsidRPr="00450FBD" w:rsidRDefault="00875046" w:rsidP="00875046">
            <w:pPr>
              <w:ind w:firstLineChars="0" w:firstLine="0"/>
              <w:jc w:val="left"/>
              <w:rPr>
                <w:sz w:val="21"/>
                <w:szCs w:val="21"/>
              </w:rPr>
            </w:pPr>
            <w:r w:rsidRPr="00450FBD">
              <w:rPr>
                <w:sz w:val="21"/>
                <w:szCs w:val="21"/>
              </w:rPr>
              <w:t>Laser diffraction particle size analyzer</w:t>
            </w:r>
          </w:p>
        </w:tc>
        <w:tc>
          <w:tcPr>
            <w:tcW w:w="0" w:type="auto"/>
            <w:vAlign w:val="center"/>
            <w:hideMark/>
          </w:tcPr>
          <w:p w14:paraId="34282563" w14:textId="77777777" w:rsidR="00875046" w:rsidRPr="00450FBD" w:rsidRDefault="00875046" w:rsidP="00875046">
            <w:pPr>
              <w:ind w:firstLineChars="0" w:firstLine="0"/>
              <w:jc w:val="left"/>
              <w:rPr>
                <w:sz w:val="21"/>
                <w:szCs w:val="21"/>
              </w:rPr>
            </w:pPr>
            <w:proofErr w:type="spellStart"/>
            <w:r w:rsidRPr="00450FBD">
              <w:rPr>
                <w:sz w:val="21"/>
                <w:szCs w:val="21"/>
              </w:rPr>
              <w:t>Mastersizer</w:t>
            </w:r>
            <w:proofErr w:type="spellEnd"/>
            <w:r w:rsidRPr="00450FBD">
              <w:rPr>
                <w:sz w:val="21"/>
                <w:szCs w:val="21"/>
              </w:rPr>
              <w:t xml:space="preserve"> 9000+ laser particle size analyzer</w:t>
            </w:r>
          </w:p>
        </w:tc>
        <w:tc>
          <w:tcPr>
            <w:tcW w:w="0" w:type="auto"/>
            <w:vAlign w:val="center"/>
            <w:hideMark/>
          </w:tcPr>
          <w:p w14:paraId="032F121F" w14:textId="77777777" w:rsidR="00875046" w:rsidRPr="00450FBD" w:rsidRDefault="00875046" w:rsidP="00875046">
            <w:pPr>
              <w:ind w:firstLineChars="0" w:firstLine="0"/>
              <w:jc w:val="left"/>
              <w:rPr>
                <w:sz w:val="21"/>
                <w:szCs w:val="21"/>
              </w:rPr>
            </w:pPr>
            <w:r w:rsidRPr="00450FBD">
              <w:rPr>
                <w:sz w:val="21"/>
                <w:szCs w:val="21"/>
              </w:rPr>
              <w:t>Analytical equipment for PVB product particle size information</w:t>
            </w:r>
          </w:p>
        </w:tc>
      </w:tr>
      <w:tr w:rsidR="00875046" w:rsidRPr="00450FBD" w14:paraId="563E5E7C" w14:textId="77777777" w:rsidTr="00450FBD">
        <w:tc>
          <w:tcPr>
            <w:tcW w:w="0" w:type="auto"/>
            <w:vAlign w:val="center"/>
            <w:hideMark/>
          </w:tcPr>
          <w:p w14:paraId="32D6520D" w14:textId="77777777" w:rsidR="00875046" w:rsidRPr="00450FBD" w:rsidRDefault="00875046" w:rsidP="00875046">
            <w:pPr>
              <w:ind w:firstLineChars="0" w:firstLine="0"/>
              <w:jc w:val="left"/>
              <w:rPr>
                <w:sz w:val="21"/>
                <w:szCs w:val="21"/>
              </w:rPr>
            </w:pPr>
            <w:r w:rsidRPr="00450FBD">
              <w:rPr>
                <w:sz w:val="21"/>
                <w:szCs w:val="21"/>
              </w:rPr>
              <w:t>Nuclear magnetic resonance spectrometer</w:t>
            </w:r>
          </w:p>
        </w:tc>
        <w:tc>
          <w:tcPr>
            <w:tcW w:w="0" w:type="auto"/>
            <w:vAlign w:val="center"/>
            <w:hideMark/>
          </w:tcPr>
          <w:p w14:paraId="63167EE2" w14:textId="77777777" w:rsidR="00875046" w:rsidRPr="00450FBD" w:rsidRDefault="00875046" w:rsidP="00875046">
            <w:pPr>
              <w:ind w:firstLineChars="0" w:firstLine="0"/>
              <w:jc w:val="left"/>
              <w:rPr>
                <w:sz w:val="21"/>
                <w:szCs w:val="21"/>
              </w:rPr>
            </w:pPr>
            <w:r w:rsidRPr="00450FBD">
              <w:rPr>
                <w:sz w:val="21"/>
                <w:szCs w:val="21"/>
              </w:rPr>
              <w:t>400 MHz NMR spectrometer</w:t>
            </w:r>
          </w:p>
        </w:tc>
        <w:tc>
          <w:tcPr>
            <w:tcW w:w="0" w:type="auto"/>
            <w:vAlign w:val="center"/>
            <w:hideMark/>
          </w:tcPr>
          <w:p w14:paraId="710E8CD9" w14:textId="77777777" w:rsidR="00875046" w:rsidRPr="00450FBD" w:rsidRDefault="00875046" w:rsidP="00875046">
            <w:pPr>
              <w:ind w:firstLineChars="0" w:firstLine="0"/>
              <w:jc w:val="left"/>
              <w:rPr>
                <w:sz w:val="21"/>
                <w:szCs w:val="21"/>
              </w:rPr>
            </w:pPr>
            <w:r w:rsidRPr="00450FBD">
              <w:rPr>
                <w:sz w:val="21"/>
                <w:szCs w:val="21"/>
              </w:rPr>
              <w:t>Analytical equipment for molecular structure information of PVB products</w:t>
            </w:r>
          </w:p>
        </w:tc>
      </w:tr>
      <w:tr w:rsidR="00875046" w:rsidRPr="00450FBD" w14:paraId="41DBDBB4" w14:textId="77777777" w:rsidTr="00450FBD">
        <w:tc>
          <w:tcPr>
            <w:tcW w:w="0" w:type="auto"/>
            <w:vAlign w:val="center"/>
            <w:hideMark/>
          </w:tcPr>
          <w:p w14:paraId="31BBAC6A" w14:textId="77777777" w:rsidR="00875046" w:rsidRPr="00450FBD" w:rsidRDefault="00875046" w:rsidP="00875046">
            <w:pPr>
              <w:ind w:firstLineChars="0" w:firstLine="0"/>
              <w:jc w:val="left"/>
              <w:rPr>
                <w:sz w:val="21"/>
                <w:szCs w:val="21"/>
              </w:rPr>
            </w:pPr>
            <w:r w:rsidRPr="00450FBD">
              <w:rPr>
                <w:sz w:val="21"/>
                <w:szCs w:val="21"/>
              </w:rPr>
              <w:t>DOE experimental design software</w:t>
            </w:r>
          </w:p>
        </w:tc>
        <w:tc>
          <w:tcPr>
            <w:tcW w:w="0" w:type="auto"/>
            <w:vAlign w:val="center"/>
            <w:hideMark/>
          </w:tcPr>
          <w:p w14:paraId="07D23188" w14:textId="77777777" w:rsidR="00875046" w:rsidRPr="00450FBD" w:rsidRDefault="00875046" w:rsidP="00875046">
            <w:pPr>
              <w:ind w:firstLineChars="0" w:firstLine="0"/>
              <w:jc w:val="left"/>
              <w:rPr>
                <w:sz w:val="21"/>
                <w:szCs w:val="21"/>
              </w:rPr>
            </w:pPr>
            <w:r w:rsidRPr="00450FBD">
              <w:rPr>
                <w:sz w:val="21"/>
                <w:szCs w:val="21"/>
              </w:rPr>
              <w:t>Design Expert 10</w:t>
            </w:r>
          </w:p>
        </w:tc>
        <w:tc>
          <w:tcPr>
            <w:tcW w:w="0" w:type="auto"/>
            <w:vAlign w:val="center"/>
            <w:hideMark/>
          </w:tcPr>
          <w:p w14:paraId="25C2EBC6" w14:textId="77777777" w:rsidR="00875046" w:rsidRPr="00450FBD" w:rsidRDefault="00875046" w:rsidP="00875046">
            <w:pPr>
              <w:ind w:firstLineChars="0" w:firstLine="0"/>
              <w:jc w:val="left"/>
              <w:rPr>
                <w:sz w:val="21"/>
                <w:szCs w:val="21"/>
              </w:rPr>
            </w:pPr>
            <w:r w:rsidRPr="00450FBD">
              <w:rPr>
                <w:sz w:val="21"/>
                <w:szCs w:val="21"/>
              </w:rPr>
              <w:t>Software for experimental design and data feasibility assessment</w:t>
            </w:r>
          </w:p>
        </w:tc>
      </w:tr>
      <w:tr w:rsidR="00875046" w:rsidRPr="00450FBD" w14:paraId="2EFF8AE2" w14:textId="77777777" w:rsidTr="00450FBD">
        <w:tc>
          <w:tcPr>
            <w:tcW w:w="0" w:type="auto"/>
            <w:tcBorders>
              <w:bottom w:val="single" w:sz="12" w:space="0" w:color="auto"/>
            </w:tcBorders>
            <w:vAlign w:val="center"/>
            <w:hideMark/>
          </w:tcPr>
          <w:p w14:paraId="2A885AE3" w14:textId="77777777" w:rsidR="00875046" w:rsidRPr="00450FBD" w:rsidRDefault="00875046" w:rsidP="00875046">
            <w:pPr>
              <w:ind w:firstLineChars="0" w:firstLine="0"/>
              <w:jc w:val="left"/>
              <w:rPr>
                <w:sz w:val="21"/>
                <w:szCs w:val="21"/>
              </w:rPr>
            </w:pPr>
            <w:r w:rsidRPr="00450FBD">
              <w:rPr>
                <w:sz w:val="21"/>
                <w:szCs w:val="21"/>
              </w:rPr>
              <w:t>Mathematical analysis software</w:t>
            </w:r>
          </w:p>
        </w:tc>
        <w:tc>
          <w:tcPr>
            <w:tcW w:w="0" w:type="auto"/>
            <w:tcBorders>
              <w:bottom w:val="single" w:sz="12" w:space="0" w:color="auto"/>
            </w:tcBorders>
            <w:vAlign w:val="center"/>
            <w:hideMark/>
          </w:tcPr>
          <w:p w14:paraId="4C138FC7" w14:textId="77777777" w:rsidR="00875046" w:rsidRPr="00450FBD" w:rsidRDefault="00875046" w:rsidP="00875046">
            <w:pPr>
              <w:ind w:firstLineChars="0" w:firstLine="0"/>
              <w:jc w:val="left"/>
              <w:rPr>
                <w:sz w:val="21"/>
                <w:szCs w:val="21"/>
              </w:rPr>
            </w:pPr>
            <w:r w:rsidRPr="00450FBD">
              <w:rPr>
                <w:sz w:val="21"/>
                <w:szCs w:val="21"/>
              </w:rPr>
              <w:t>MATLAB 2023b</w:t>
            </w:r>
          </w:p>
        </w:tc>
        <w:tc>
          <w:tcPr>
            <w:tcW w:w="0" w:type="auto"/>
            <w:tcBorders>
              <w:bottom w:val="single" w:sz="12" w:space="0" w:color="auto"/>
            </w:tcBorders>
            <w:vAlign w:val="center"/>
            <w:hideMark/>
          </w:tcPr>
          <w:p w14:paraId="257FB2EA" w14:textId="77777777" w:rsidR="00875046" w:rsidRPr="00450FBD" w:rsidRDefault="00875046" w:rsidP="00875046">
            <w:pPr>
              <w:ind w:firstLineChars="0" w:firstLine="0"/>
              <w:jc w:val="left"/>
              <w:rPr>
                <w:sz w:val="21"/>
                <w:szCs w:val="21"/>
              </w:rPr>
            </w:pPr>
            <w:r w:rsidRPr="00450FBD">
              <w:rPr>
                <w:sz w:val="21"/>
                <w:szCs w:val="21"/>
              </w:rPr>
              <w:t>Software for AI-based PVB product parameter training and evaluation</w:t>
            </w:r>
          </w:p>
        </w:tc>
      </w:tr>
    </w:tbl>
    <w:p w14:paraId="535D9CDF" w14:textId="5D58B0D2" w:rsidR="006E31F7" w:rsidRPr="00202466" w:rsidRDefault="00875046">
      <w:pPr>
        <w:ind w:firstLineChars="0" w:firstLine="0"/>
      </w:pPr>
      <w:r w:rsidRPr="00202466">
        <w:t>The experimental instruments listed in Table 1 correspond to the apparatus shown in Figure 1. The specific applications of the experimental instruments are clearly indicated in the table and will be elaborated in detail below.</w:t>
      </w:r>
    </w:p>
    <w:bookmarkEnd w:id="0"/>
    <w:p w14:paraId="4958041B" w14:textId="77777777" w:rsidR="006E31F7" w:rsidRDefault="00000000" w:rsidP="00437575">
      <w:pPr>
        <w:ind w:firstLineChars="0" w:firstLine="0"/>
        <w:jc w:val="center"/>
      </w:pPr>
      <w:r>
        <w:rPr>
          <w:noProof/>
        </w:rPr>
        <w:lastRenderedPageBreak/>
        <w:drawing>
          <wp:inline distT="0" distB="0" distL="0" distR="0" wp14:anchorId="1B3D64A8" wp14:editId="1C3B4B52">
            <wp:extent cx="5343264" cy="3903857"/>
            <wp:effectExtent l="0" t="0" r="0" b="1905"/>
            <wp:docPr id="366258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5835"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5392" cy="3963861"/>
                    </a:xfrm>
                    <a:prstGeom prst="rect">
                      <a:avLst/>
                    </a:prstGeom>
                  </pic:spPr>
                </pic:pic>
              </a:graphicData>
            </a:graphic>
          </wp:inline>
        </w:drawing>
      </w:r>
    </w:p>
    <w:p w14:paraId="0207E7F1" w14:textId="41E4521D" w:rsidR="006E31F7" w:rsidRPr="005466FD" w:rsidRDefault="00875046" w:rsidP="005466FD">
      <w:pPr>
        <w:ind w:firstLineChars="0" w:firstLine="0"/>
      </w:pPr>
      <w:r w:rsidRPr="005466FD">
        <w:rPr>
          <w:b/>
          <w:bCs/>
        </w:rPr>
        <w:t>Fig</w:t>
      </w:r>
      <w:r w:rsidR="00297D33">
        <w:rPr>
          <w:rFonts w:hint="eastAsia"/>
          <w:b/>
          <w:bCs/>
        </w:rPr>
        <w:t>ure</w:t>
      </w:r>
      <w:r w:rsidRPr="005466FD">
        <w:rPr>
          <w:b/>
          <w:bCs/>
        </w:rPr>
        <w:t xml:space="preserve"> 1.</w:t>
      </w:r>
      <w:r w:rsidRPr="00D55B42">
        <w:t xml:space="preserve"> </w:t>
      </w:r>
      <w:r w:rsidRPr="008D069E">
        <w:t>Experimental Equipment Illustration</w:t>
      </w:r>
      <w:r w:rsidR="00450FBD" w:rsidRPr="008D069E">
        <w:rPr>
          <w:rFonts w:hint="eastAsia"/>
        </w:rPr>
        <w:t xml:space="preserve">. </w:t>
      </w:r>
      <w:r w:rsidRPr="008D069E">
        <w:t>(a) Digital 6-position multi-head magnetic heating temperature-controlled stirrer</w:t>
      </w:r>
      <w:r w:rsidR="00450FBD" w:rsidRPr="008D069E">
        <w:rPr>
          <w:rFonts w:hint="eastAsia"/>
        </w:rPr>
        <w:t>.</w:t>
      </w:r>
      <w:r w:rsidRPr="008D069E">
        <w:t xml:space="preserve"> (b) </w:t>
      </w:r>
      <w:proofErr w:type="spellStart"/>
      <w:r w:rsidRPr="008D069E">
        <w:t>Mastersizer</w:t>
      </w:r>
      <w:proofErr w:type="spellEnd"/>
      <w:r w:rsidRPr="008D069E">
        <w:t xml:space="preserve"> 9000+ laser particle size analyzer</w:t>
      </w:r>
      <w:r w:rsidR="00450FBD" w:rsidRPr="008D069E">
        <w:rPr>
          <w:rFonts w:hint="eastAsia"/>
        </w:rPr>
        <w:t>.</w:t>
      </w:r>
      <w:r w:rsidRPr="008D069E">
        <w:t xml:space="preserve"> (c) 400 MHz NMR spectrometer</w:t>
      </w:r>
      <w:r w:rsidR="00450FBD" w:rsidRPr="008D069E">
        <w:rPr>
          <w:rFonts w:hint="eastAsia"/>
        </w:rPr>
        <w:t>.</w:t>
      </w:r>
      <w:r w:rsidRPr="008D069E">
        <w:t xml:space="preserve"> (d) Design Expert 10</w:t>
      </w:r>
      <w:r w:rsidR="00450FBD" w:rsidRPr="008D069E">
        <w:rPr>
          <w:rFonts w:hint="eastAsia"/>
        </w:rPr>
        <w:t>.</w:t>
      </w:r>
      <w:r w:rsidRPr="008D069E">
        <w:t xml:space="preserve"> (e) MATLAB 2023b</w:t>
      </w:r>
      <w:r w:rsidR="00450FBD" w:rsidRPr="008D069E">
        <w:rPr>
          <w:rFonts w:hint="eastAsia"/>
        </w:rPr>
        <w:t>.</w:t>
      </w:r>
    </w:p>
    <w:p w14:paraId="0459C3F9" w14:textId="1DEF0B99" w:rsidR="006E31F7" w:rsidRPr="00BE5DEB" w:rsidRDefault="00BE5DEB" w:rsidP="00BE5DEB">
      <w:pPr>
        <w:ind w:firstLineChars="0" w:firstLine="0"/>
        <w:rPr>
          <w:b/>
          <w:bCs/>
          <w:sz w:val="32"/>
          <w:szCs w:val="32"/>
        </w:rPr>
      </w:pPr>
      <w:r>
        <w:rPr>
          <w:rFonts w:hint="eastAsia"/>
          <w:b/>
          <w:bCs/>
          <w:sz w:val="32"/>
          <w:szCs w:val="32"/>
        </w:rPr>
        <w:t xml:space="preserve">2. </w:t>
      </w:r>
      <w:r w:rsidRPr="00BE5DEB">
        <w:rPr>
          <w:b/>
          <w:bCs/>
          <w:sz w:val="32"/>
          <w:szCs w:val="32"/>
        </w:rPr>
        <w:t>Synthesis Steps of PVB</w:t>
      </w:r>
    </w:p>
    <w:p w14:paraId="0E4D541D" w14:textId="11F723CC" w:rsidR="00875046" w:rsidRDefault="00875046">
      <w:pPr>
        <w:ind w:firstLineChars="0" w:firstLine="480"/>
      </w:pPr>
      <w:r w:rsidRPr="00875046">
        <w:t>PVB was synthesized via co-precipitation method through a series of operations to obtain the target product. The detailed PVB synthesis procedure is described as follows. PVA and n-butyraldehyde undergo continuous acetalization under acid catalysis, with continuous changes over time.</w:t>
      </w:r>
    </w:p>
    <w:p w14:paraId="433DEBB3" w14:textId="376FBE02" w:rsidR="00875046" w:rsidRPr="00875046" w:rsidRDefault="0005639D" w:rsidP="0005639D">
      <w:pPr>
        <w:ind w:firstLineChars="0" w:firstLine="0"/>
      </w:pPr>
      <w:r w:rsidRPr="0005639D">
        <w:rPr>
          <w:rFonts w:hint="eastAsia"/>
          <w:b/>
          <w:bCs/>
        </w:rPr>
        <w:t>(1</w:t>
      </w:r>
      <w:r>
        <w:rPr>
          <w:b/>
          <w:bCs/>
        </w:rPr>
        <w:t xml:space="preserve">) </w:t>
      </w:r>
      <w:r w:rsidR="00875046" w:rsidRPr="0005639D">
        <w:rPr>
          <w:b/>
          <w:bCs/>
        </w:rPr>
        <w:t>Dissolution of 10% PVA:</w:t>
      </w:r>
      <w:r w:rsidR="00875046" w:rsidRPr="00875046">
        <w:t xml:space="preserve"> Weigh 120 g PVA and transfer to a 2000 mL round-bottom flask. Add 1080 mL deionized water to the container, heat to 90°C, and maintain heating for 2 hours to form a homogeneous solution. </w:t>
      </w:r>
    </w:p>
    <w:p w14:paraId="3988013A" w14:textId="7E97EEFB" w:rsidR="00875046" w:rsidRPr="0005639D" w:rsidRDefault="0005639D" w:rsidP="0005639D">
      <w:pPr>
        <w:ind w:firstLineChars="0" w:firstLine="0"/>
        <w:rPr>
          <w:b/>
          <w:bCs/>
        </w:rPr>
      </w:pPr>
      <w:r>
        <w:rPr>
          <w:rFonts w:hint="eastAsia"/>
          <w:b/>
          <w:bCs/>
        </w:rPr>
        <w:t xml:space="preserve">(2) </w:t>
      </w:r>
      <w:r w:rsidR="00875046" w:rsidRPr="0005639D">
        <w:rPr>
          <w:b/>
          <w:bCs/>
        </w:rPr>
        <w:t xml:space="preserve">Preparation of emulsifier: </w:t>
      </w:r>
      <w:r w:rsidR="00875046" w:rsidRPr="0005639D">
        <w:t xml:space="preserve">Place 0.4 g SDS in a test tube, add 10 mL deionized water, and dissolve completely in a 50-60°C oven for 30 min. </w:t>
      </w:r>
    </w:p>
    <w:p w14:paraId="7C3F4A25" w14:textId="77777777" w:rsidR="0005639D" w:rsidRDefault="0005639D" w:rsidP="0005639D">
      <w:pPr>
        <w:ind w:firstLineChars="0" w:firstLine="0"/>
      </w:pPr>
      <w:bookmarkStart w:id="1" w:name="OLE_LINK3"/>
      <w:r>
        <w:rPr>
          <w:rFonts w:hint="eastAsia"/>
          <w:b/>
          <w:bCs/>
        </w:rPr>
        <w:t>(3)</w:t>
      </w:r>
      <w:bookmarkEnd w:id="1"/>
      <w:r>
        <w:rPr>
          <w:rFonts w:hint="eastAsia"/>
          <w:b/>
          <w:bCs/>
        </w:rPr>
        <w:t xml:space="preserve"> </w:t>
      </w:r>
      <w:r w:rsidR="00875046" w:rsidRPr="0005639D">
        <w:rPr>
          <w:b/>
          <w:bCs/>
        </w:rPr>
        <w:t>PVA pretreatment:</w:t>
      </w:r>
      <w:r w:rsidR="00875046" w:rsidRPr="00875046">
        <w:t xml:space="preserve"> Place 200 mL cooled room-temperature PVA (10%) in a 500 mL </w:t>
      </w:r>
      <w:r w:rsidR="00875046" w:rsidRPr="00875046">
        <w:lastRenderedPageBreak/>
        <w:t xml:space="preserve">round-bottom flask. Add SDS emulsifier, corresponding proportion of n-butyraldehyde (12.95 mL), control temperature at 28°C (monitored by temperature probe inserted into the solvent), and mix thoroughly with magnetic stirring at 300 rpm for 30 min. </w:t>
      </w:r>
    </w:p>
    <w:p w14:paraId="77FC07B4" w14:textId="3EBE75FF" w:rsidR="00875046" w:rsidRPr="00875046" w:rsidRDefault="0005639D" w:rsidP="0005639D">
      <w:pPr>
        <w:ind w:firstLineChars="0" w:firstLine="0"/>
      </w:pPr>
      <w:r>
        <w:rPr>
          <w:rFonts w:hint="eastAsia"/>
          <w:b/>
          <w:bCs/>
        </w:rPr>
        <w:t xml:space="preserve">(4) </w:t>
      </w:r>
      <w:r w:rsidR="00875046" w:rsidRPr="0005639D">
        <w:rPr>
          <w:b/>
          <w:bCs/>
        </w:rPr>
        <w:t>PVB synthesis reaction:</w:t>
      </w:r>
      <w:r w:rsidR="00875046" w:rsidRPr="00875046">
        <w:t xml:space="preserve"> Add concentrated nitric acid (1.34 mL) and allow sufficient reaction for 120 min. </w:t>
      </w:r>
    </w:p>
    <w:p w14:paraId="1AC06A25" w14:textId="0D469A88" w:rsidR="00875046" w:rsidRPr="00875046" w:rsidRDefault="0005639D" w:rsidP="0005639D">
      <w:pPr>
        <w:ind w:firstLineChars="0" w:firstLine="0"/>
      </w:pPr>
      <w:r>
        <w:rPr>
          <w:rFonts w:hint="eastAsia"/>
          <w:b/>
          <w:bCs/>
        </w:rPr>
        <w:t xml:space="preserve">(5) </w:t>
      </w:r>
      <w:r w:rsidR="00875046" w:rsidRPr="0005639D">
        <w:rPr>
          <w:b/>
          <w:bCs/>
        </w:rPr>
        <w:t>Neutralization reaction:</w:t>
      </w:r>
      <w:r w:rsidR="00875046" w:rsidRPr="00875046">
        <w:t xml:space="preserve"> Stop magnetic stirring, transfer the sample to a 500 mL beaker, add appropriate amount of prepared NaOH solution to the beaker, and allow solid-liquid separation after standing. </w:t>
      </w:r>
    </w:p>
    <w:p w14:paraId="2F819CB2" w14:textId="1755AA2F" w:rsidR="00875046" w:rsidRDefault="0005639D" w:rsidP="0005639D">
      <w:pPr>
        <w:ind w:firstLineChars="0" w:firstLine="0"/>
      </w:pPr>
      <w:r>
        <w:rPr>
          <w:rFonts w:hint="eastAsia"/>
          <w:b/>
          <w:bCs/>
        </w:rPr>
        <w:t xml:space="preserve">(6) </w:t>
      </w:r>
      <w:r w:rsidR="00875046" w:rsidRPr="0005639D">
        <w:rPr>
          <w:b/>
          <w:bCs/>
        </w:rPr>
        <w:t>Sample drying:</w:t>
      </w:r>
      <w:r w:rsidR="00875046" w:rsidRPr="00875046">
        <w:t xml:space="preserve"> Perform multiple vacuum filtrations to wash away impurities, label the samples, and dry in an oven at 45°C for 1-2 days.</w:t>
      </w:r>
    </w:p>
    <w:p w14:paraId="2C673898" w14:textId="53EDE181" w:rsidR="006E31F7" w:rsidRPr="0005639D" w:rsidRDefault="00875046" w:rsidP="00A73DBA">
      <w:pPr>
        <w:ind w:firstLineChars="0" w:firstLine="0"/>
      </w:pPr>
      <w:r w:rsidRPr="00A73DBA">
        <w:rPr>
          <w:b/>
          <w:bCs/>
        </w:rPr>
        <w:t>Table 2</w:t>
      </w:r>
      <w:r w:rsidR="00297D33" w:rsidRPr="00A73DBA">
        <w:rPr>
          <w:rFonts w:hint="eastAsia"/>
          <w:b/>
          <w:bCs/>
        </w:rPr>
        <w:t xml:space="preserve">. </w:t>
      </w:r>
      <w:r w:rsidRPr="00AA2A54">
        <w:t>Experimental Conditions for PVB Synthesis</w:t>
      </w:r>
      <w:r w:rsidR="0005639D" w:rsidRPr="00AA2A54">
        <w:rPr>
          <w:rFonts w:hint="eastAsia"/>
        </w:rPr>
        <w:t>.</w:t>
      </w:r>
    </w:p>
    <w:tbl>
      <w:tblPr>
        <w:tblStyle w:val="15"/>
        <w:tblW w:w="5000" w:type="pct"/>
        <w:jc w:val="center"/>
        <w:tblBorders>
          <w:top w:val="single" w:sz="12" w:space="0" w:color="auto"/>
          <w:bottom w:val="single" w:sz="12" w:space="0" w:color="auto"/>
        </w:tblBorders>
        <w:tblLook w:val="04A0" w:firstRow="1" w:lastRow="0" w:firstColumn="1" w:lastColumn="0" w:noHBand="0" w:noVBand="1"/>
      </w:tblPr>
      <w:tblGrid>
        <w:gridCol w:w="530"/>
        <w:gridCol w:w="2391"/>
        <w:gridCol w:w="2171"/>
        <w:gridCol w:w="2675"/>
        <w:gridCol w:w="1181"/>
      </w:tblGrid>
      <w:tr w:rsidR="006E31F7" w:rsidRPr="00BE5DEB" w14:paraId="08741AB8" w14:textId="77777777" w:rsidTr="0005639D">
        <w:trPr>
          <w:jc w:val="center"/>
        </w:trPr>
        <w:tc>
          <w:tcPr>
            <w:tcW w:w="296" w:type="pct"/>
            <w:tcBorders>
              <w:top w:val="single" w:sz="12" w:space="0" w:color="auto"/>
              <w:bottom w:val="single" w:sz="8" w:space="0" w:color="auto"/>
            </w:tcBorders>
            <w:vAlign w:val="center"/>
          </w:tcPr>
          <w:p w14:paraId="0EF2F132" w14:textId="30FD09EB" w:rsidR="006E31F7" w:rsidRPr="00BE5DEB" w:rsidRDefault="008327D3" w:rsidP="00297D33">
            <w:pPr>
              <w:ind w:firstLineChars="0" w:firstLine="0"/>
              <w:jc w:val="left"/>
              <w:rPr>
                <w:sz w:val="21"/>
                <w:szCs w:val="21"/>
              </w:rPr>
            </w:pPr>
            <w:r w:rsidRPr="00BE5DEB">
              <w:rPr>
                <w:rFonts w:hint="eastAsia"/>
                <w:sz w:val="21"/>
                <w:szCs w:val="21"/>
              </w:rPr>
              <w:t>No.</w:t>
            </w:r>
          </w:p>
        </w:tc>
        <w:tc>
          <w:tcPr>
            <w:tcW w:w="1336" w:type="pct"/>
            <w:tcBorders>
              <w:top w:val="single" w:sz="12" w:space="0" w:color="auto"/>
              <w:bottom w:val="single" w:sz="8" w:space="0" w:color="auto"/>
            </w:tcBorders>
            <w:vAlign w:val="center"/>
          </w:tcPr>
          <w:p w14:paraId="191BB3B4" w14:textId="47A782B7" w:rsidR="006E31F7" w:rsidRPr="00BE5DEB" w:rsidRDefault="008327D3" w:rsidP="00297D33">
            <w:pPr>
              <w:ind w:firstLineChars="0" w:firstLine="0"/>
              <w:jc w:val="left"/>
              <w:rPr>
                <w:sz w:val="21"/>
                <w:szCs w:val="21"/>
              </w:rPr>
            </w:pPr>
            <w:r w:rsidRPr="00BE5DEB">
              <w:rPr>
                <w:sz w:val="21"/>
                <w:szCs w:val="21"/>
              </w:rPr>
              <w:t>PVA concentration (</w:t>
            </w:r>
            <w:proofErr w:type="spellStart"/>
            <w:r w:rsidRPr="00BE5DEB">
              <w:rPr>
                <w:sz w:val="21"/>
                <w:szCs w:val="21"/>
              </w:rPr>
              <w:t>wt</w:t>
            </w:r>
            <w:proofErr w:type="spellEnd"/>
            <w:r w:rsidRPr="00BE5DEB">
              <w:rPr>
                <w:sz w:val="21"/>
                <w:szCs w:val="21"/>
              </w:rPr>
              <w:t>%)</w:t>
            </w:r>
          </w:p>
        </w:tc>
        <w:tc>
          <w:tcPr>
            <w:tcW w:w="1213" w:type="pct"/>
            <w:tcBorders>
              <w:top w:val="single" w:sz="12" w:space="0" w:color="auto"/>
              <w:bottom w:val="single" w:sz="8" w:space="0" w:color="auto"/>
            </w:tcBorders>
            <w:vAlign w:val="center"/>
          </w:tcPr>
          <w:p w14:paraId="56C9BE21" w14:textId="1621C8DB" w:rsidR="006E31F7" w:rsidRPr="00BE5DEB" w:rsidRDefault="008327D3" w:rsidP="00297D33">
            <w:pPr>
              <w:ind w:firstLineChars="0" w:firstLine="0"/>
              <w:jc w:val="left"/>
              <w:rPr>
                <w:sz w:val="21"/>
                <w:szCs w:val="21"/>
              </w:rPr>
            </w:pPr>
            <w:r w:rsidRPr="00BE5DEB">
              <w:rPr>
                <w:sz w:val="21"/>
                <w:szCs w:val="21"/>
              </w:rPr>
              <w:t>Aldehyde feeding ratio</w:t>
            </w:r>
          </w:p>
        </w:tc>
        <w:tc>
          <w:tcPr>
            <w:tcW w:w="1495" w:type="pct"/>
            <w:tcBorders>
              <w:top w:val="single" w:sz="12" w:space="0" w:color="auto"/>
              <w:bottom w:val="single" w:sz="8" w:space="0" w:color="auto"/>
            </w:tcBorders>
            <w:vAlign w:val="center"/>
          </w:tcPr>
          <w:p w14:paraId="148FEB9B" w14:textId="7F0F81F4" w:rsidR="006E31F7" w:rsidRPr="00BE5DEB" w:rsidRDefault="008327D3" w:rsidP="00297D33">
            <w:pPr>
              <w:ind w:firstLineChars="0" w:firstLine="0"/>
              <w:jc w:val="left"/>
              <w:rPr>
                <w:sz w:val="21"/>
                <w:szCs w:val="21"/>
              </w:rPr>
            </w:pPr>
            <w:r w:rsidRPr="00BE5DEB">
              <w:rPr>
                <w:sz w:val="21"/>
                <w:szCs w:val="21"/>
              </w:rPr>
              <w:t>Acid concentration (mol L⁻¹)</w:t>
            </w:r>
          </w:p>
        </w:tc>
        <w:tc>
          <w:tcPr>
            <w:tcW w:w="660" w:type="pct"/>
            <w:tcBorders>
              <w:top w:val="single" w:sz="12" w:space="0" w:color="auto"/>
              <w:bottom w:val="single" w:sz="8" w:space="0" w:color="auto"/>
            </w:tcBorders>
            <w:vAlign w:val="center"/>
          </w:tcPr>
          <w:p w14:paraId="704E5732" w14:textId="3509FE07" w:rsidR="006E31F7" w:rsidRPr="00BE5DEB" w:rsidRDefault="008327D3" w:rsidP="00297D33">
            <w:pPr>
              <w:ind w:firstLineChars="0" w:firstLine="0"/>
              <w:jc w:val="left"/>
              <w:rPr>
                <w:sz w:val="21"/>
                <w:szCs w:val="21"/>
              </w:rPr>
            </w:pPr>
            <w:r w:rsidRPr="00BE5DEB">
              <w:rPr>
                <w:sz w:val="21"/>
                <w:szCs w:val="21"/>
              </w:rPr>
              <w:t>Time (min)</w:t>
            </w:r>
          </w:p>
        </w:tc>
      </w:tr>
      <w:tr w:rsidR="006E31F7" w:rsidRPr="00BE5DEB" w14:paraId="5977A81C" w14:textId="77777777" w:rsidTr="0005639D">
        <w:trPr>
          <w:jc w:val="center"/>
        </w:trPr>
        <w:tc>
          <w:tcPr>
            <w:tcW w:w="296" w:type="pct"/>
            <w:tcBorders>
              <w:top w:val="single" w:sz="8" w:space="0" w:color="auto"/>
            </w:tcBorders>
            <w:vAlign w:val="center"/>
          </w:tcPr>
          <w:p w14:paraId="6931BA91" w14:textId="77777777" w:rsidR="006E31F7" w:rsidRPr="00BE5DEB" w:rsidRDefault="00000000" w:rsidP="00297D33">
            <w:pPr>
              <w:ind w:firstLineChars="0" w:firstLine="0"/>
              <w:jc w:val="left"/>
              <w:rPr>
                <w:sz w:val="21"/>
                <w:szCs w:val="21"/>
              </w:rPr>
            </w:pPr>
            <w:r w:rsidRPr="00BE5DEB">
              <w:rPr>
                <w:rFonts w:hint="eastAsia"/>
                <w:sz w:val="21"/>
                <w:szCs w:val="21"/>
              </w:rPr>
              <w:t>6</w:t>
            </w:r>
          </w:p>
        </w:tc>
        <w:tc>
          <w:tcPr>
            <w:tcW w:w="1336" w:type="pct"/>
            <w:tcBorders>
              <w:top w:val="single" w:sz="8" w:space="0" w:color="auto"/>
            </w:tcBorders>
            <w:vAlign w:val="center"/>
          </w:tcPr>
          <w:p w14:paraId="33CF2F95" w14:textId="77777777" w:rsidR="006E31F7" w:rsidRPr="00BE5DEB" w:rsidRDefault="00000000" w:rsidP="00297D33">
            <w:pPr>
              <w:ind w:firstLineChars="0" w:firstLine="0"/>
              <w:jc w:val="left"/>
              <w:rPr>
                <w:sz w:val="21"/>
                <w:szCs w:val="21"/>
              </w:rPr>
            </w:pPr>
            <w:r w:rsidRPr="00BE5DEB">
              <w:rPr>
                <w:rFonts w:hint="eastAsia"/>
                <w:sz w:val="21"/>
                <w:szCs w:val="21"/>
              </w:rPr>
              <w:t>10</w:t>
            </w:r>
          </w:p>
        </w:tc>
        <w:tc>
          <w:tcPr>
            <w:tcW w:w="1213" w:type="pct"/>
            <w:tcBorders>
              <w:top w:val="single" w:sz="8" w:space="0" w:color="auto"/>
            </w:tcBorders>
            <w:vAlign w:val="center"/>
          </w:tcPr>
          <w:p w14:paraId="2E6137FA" w14:textId="77777777" w:rsidR="006E31F7" w:rsidRPr="00BE5DEB" w:rsidRDefault="00000000" w:rsidP="00297D33">
            <w:pPr>
              <w:ind w:firstLineChars="0" w:firstLine="0"/>
              <w:jc w:val="left"/>
              <w:rPr>
                <w:sz w:val="21"/>
                <w:szCs w:val="21"/>
              </w:rPr>
            </w:pPr>
            <w:r w:rsidRPr="00BE5DEB">
              <w:rPr>
                <w:rFonts w:hint="eastAsia"/>
                <w:sz w:val="21"/>
                <w:szCs w:val="21"/>
              </w:rPr>
              <w:t>0.32</w:t>
            </w:r>
          </w:p>
        </w:tc>
        <w:tc>
          <w:tcPr>
            <w:tcW w:w="1495" w:type="pct"/>
            <w:tcBorders>
              <w:top w:val="single" w:sz="8" w:space="0" w:color="auto"/>
            </w:tcBorders>
            <w:vAlign w:val="center"/>
          </w:tcPr>
          <w:p w14:paraId="62AD4B48" w14:textId="77777777" w:rsidR="006E31F7" w:rsidRPr="00BE5DEB" w:rsidRDefault="00000000" w:rsidP="00297D33">
            <w:pPr>
              <w:ind w:firstLineChars="0" w:firstLine="0"/>
              <w:jc w:val="left"/>
              <w:rPr>
                <w:sz w:val="21"/>
                <w:szCs w:val="21"/>
              </w:rPr>
            </w:pPr>
            <w:r w:rsidRPr="00BE5DEB">
              <w:rPr>
                <w:rFonts w:hint="eastAsia"/>
                <w:sz w:val="21"/>
                <w:szCs w:val="21"/>
              </w:rPr>
              <w:t>0.1</w:t>
            </w:r>
          </w:p>
        </w:tc>
        <w:tc>
          <w:tcPr>
            <w:tcW w:w="660" w:type="pct"/>
            <w:tcBorders>
              <w:top w:val="single" w:sz="8" w:space="0" w:color="auto"/>
            </w:tcBorders>
            <w:vAlign w:val="center"/>
          </w:tcPr>
          <w:p w14:paraId="2D2E04B7" w14:textId="77777777" w:rsidR="006E31F7" w:rsidRPr="00BE5DEB" w:rsidRDefault="00000000" w:rsidP="00297D33">
            <w:pPr>
              <w:ind w:firstLineChars="0" w:firstLine="0"/>
              <w:jc w:val="left"/>
              <w:rPr>
                <w:sz w:val="21"/>
                <w:szCs w:val="21"/>
              </w:rPr>
            </w:pPr>
            <w:r w:rsidRPr="00BE5DEB">
              <w:rPr>
                <w:rFonts w:hint="eastAsia"/>
                <w:sz w:val="21"/>
                <w:szCs w:val="21"/>
              </w:rPr>
              <w:t>120</w:t>
            </w:r>
          </w:p>
        </w:tc>
      </w:tr>
    </w:tbl>
    <w:p w14:paraId="1A9C00A6" w14:textId="12BAB3BF" w:rsidR="00875046" w:rsidRPr="00202466" w:rsidRDefault="00875046" w:rsidP="00875046">
      <w:pPr>
        <w:ind w:firstLineChars="0" w:firstLine="0"/>
      </w:pPr>
      <w:r w:rsidRPr="00202466">
        <w:t>The PVB synthesis experimental procedure is demonstrated using Run 6, with detailed experimental steps described according to the experimental conditions of Run 6 from the CCD experimental design.</w:t>
      </w:r>
    </w:p>
    <w:p w14:paraId="69BBDDD3" w14:textId="625FB50A" w:rsidR="006E31F7" w:rsidRPr="00BE5DEB" w:rsidRDefault="00BE5DEB" w:rsidP="00BE5DEB">
      <w:pPr>
        <w:ind w:firstLineChars="0" w:firstLine="0"/>
        <w:rPr>
          <w:b/>
          <w:bCs/>
          <w:sz w:val="32"/>
          <w:szCs w:val="32"/>
        </w:rPr>
      </w:pPr>
      <w:r>
        <w:rPr>
          <w:rFonts w:hint="eastAsia"/>
          <w:b/>
          <w:bCs/>
          <w:sz w:val="32"/>
          <w:szCs w:val="32"/>
        </w:rPr>
        <w:t xml:space="preserve">3. </w:t>
      </w:r>
      <w:r w:rsidRPr="00BE5DEB">
        <w:rPr>
          <w:b/>
          <w:bCs/>
          <w:sz w:val="32"/>
          <w:szCs w:val="32"/>
        </w:rPr>
        <w:t>Determination of the acetal degree of PVB</w:t>
      </w:r>
    </w:p>
    <w:p w14:paraId="6B7168B6" w14:textId="77777777" w:rsidR="00875046" w:rsidRDefault="00875046">
      <w:pPr>
        <w:ind w:firstLineChars="83" w:firstLine="199"/>
      </w:pPr>
      <w:r w:rsidRPr="00875046">
        <w:t xml:space="preserve">The acetal degree (AD) of PVB was measured and characterized through ¹H-NMR spectral analysis. Using d₆-DMSO as solvent, ¹H-NMR spectra of PVB were recorded on a nuclear magnetic resonance spectrometer and analyzed using </w:t>
      </w:r>
      <w:proofErr w:type="spellStart"/>
      <w:r w:rsidRPr="00875046">
        <w:t>MestraNova</w:t>
      </w:r>
      <w:proofErr w:type="spellEnd"/>
      <w:r w:rsidRPr="00875046">
        <w:t xml:space="preserve"> x64 software. The acetal degree (AD) of PVB was calculated through peak area integration. The ¹H-NMR chemical shift range is 0-5 ppm, and spectral data should not exceed this shift range. Figure 3 shows a typical ¹H-NMR spectral analysis of PVB. The AD calculation is based on the following equation, and according to the spectrum analysis, Figure 2 shows an AD value of 0.283. Figure 3 presents the NMR measurement data for the acetal degree of 30 PVB samples from the CCD design experiments.</w:t>
      </w:r>
    </w:p>
    <w:p w14:paraId="2F9DFAFA" w14:textId="485055F8" w:rsidR="006E31F7" w:rsidRDefault="00000000" w:rsidP="00415C34">
      <w:pPr>
        <w:tabs>
          <w:tab w:val="center" w:pos="4080"/>
          <w:tab w:val="right" w:pos="8160"/>
        </w:tabs>
        <w:ind w:firstLineChars="83" w:firstLine="199"/>
        <w:rPr>
          <w:rFonts w:hint="eastAsia"/>
          <w:b/>
          <w:bCs/>
          <w:iCs/>
        </w:rPr>
      </w:pPr>
      <m:oMath>
        <m:acc>
          <m:accPr>
            <m:chr m:val="̅"/>
            <m:ctrlPr>
              <w:rPr>
                <w:rFonts w:ascii="Cambria Math" w:hAnsi="Cambria Math" w:cs="Times New Roman"/>
                <w:snapToGrid w:val="0"/>
              </w:rPr>
            </m:ctrlPr>
          </m:accPr>
          <m:e>
            <m:r>
              <w:rPr>
                <w:rFonts w:ascii="Cambria Math" w:hAnsi="Cambria Math" w:cs="Times New Roman"/>
                <w:snapToGrid w:val="0"/>
              </w:rPr>
              <m:t>AD</m:t>
            </m:r>
          </m:e>
        </m:acc>
        <m:r>
          <m:rPr>
            <m:sty m:val="p"/>
          </m:rPr>
          <w:rPr>
            <w:rFonts w:ascii="Cambria Math" w:hAnsi="Cambria Math" w:cs="Times New Roman"/>
            <w:snapToGrid w:val="0"/>
          </w:rPr>
          <m:t xml:space="preserve">= </m:t>
        </m:r>
        <m:f>
          <m:fPr>
            <m:ctrlPr>
              <w:rPr>
                <w:rFonts w:ascii="Cambria Math" w:hAnsi="Cambria Math" w:cs="Times New Roman"/>
                <w:snapToGrid w:val="0"/>
              </w:rPr>
            </m:ctrlPr>
          </m:fPr>
          <m:num>
            <m:r>
              <m:rPr>
                <m:sty m:val="p"/>
              </m:rPr>
              <w:rPr>
                <w:rFonts w:ascii="Cambria Math" w:hAnsi="Cambria Math" w:cs="Times New Roman"/>
                <w:snapToGrid w:val="0"/>
              </w:rPr>
              <m:t>2</m:t>
            </m:r>
          </m:num>
          <m:den>
            <m:r>
              <m:rPr>
                <m:sty m:val="p"/>
              </m:rPr>
              <w:rPr>
                <w:rFonts w:ascii="Cambria Math" w:hAnsi="Cambria Math" w:cs="Times New Roman"/>
                <w:snapToGrid w:val="0"/>
              </w:rPr>
              <m:t>3</m:t>
            </m:r>
          </m:den>
        </m:f>
        <m:r>
          <m:rPr>
            <m:sty m:val="p"/>
          </m:rPr>
          <w:rPr>
            <w:rFonts w:ascii="Cambria Math" w:hAnsi="Cambria Math" w:cs="Times New Roman"/>
            <w:snapToGrid w:val="0"/>
          </w:rPr>
          <m:t>×</m:t>
        </m:r>
        <m:f>
          <m:fPr>
            <m:ctrlPr>
              <w:rPr>
                <w:rFonts w:ascii="Cambria Math" w:hAnsi="Cambria Math" w:cs="Times New Roman"/>
                <w:snapToGrid w:val="0"/>
              </w:rPr>
            </m:ctrlPr>
          </m:fPr>
          <m:num>
            <m:sSub>
              <m:sSubPr>
                <m:ctrlPr>
                  <w:rPr>
                    <w:rFonts w:ascii="Cambria Math" w:hAnsi="Cambria Math" w:cs="Times New Roman"/>
                    <w:snapToGrid w:val="0"/>
                  </w:rPr>
                </m:ctrlPr>
              </m:sSubPr>
              <m:e>
                <m:r>
                  <w:rPr>
                    <w:rFonts w:ascii="Cambria Math" w:hAnsi="Cambria Math" w:cs="Times New Roman"/>
                    <w:snapToGrid w:val="0"/>
                  </w:rPr>
                  <m:t>A</m:t>
                </m:r>
              </m:e>
              <m:sub>
                <m:r>
                  <m:rPr>
                    <m:sty m:val="p"/>
                  </m:rPr>
                  <w:rPr>
                    <w:rFonts w:ascii="Cambria Math" w:hAnsi="Cambria Math" w:cs="Times New Roman"/>
                    <w:snapToGrid w:val="0"/>
                  </w:rPr>
                  <m:t>8</m:t>
                </m:r>
              </m:sub>
            </m:sSub>
          </m:num>
          <m:den>
            <m:sSub>
              <m:sSubPr>
                <m:ctrlPr>
                  <w:rPr>
                    <w:rFonts w:ascii="Cambria Math" w:hAnsi="Cambria Math" w:cs="Times New Roman"/>
                    <w:snapToGrid w:val="0"/>
                  </w:rPr>
                </m:ctrlPr>
              </m:sSubPr>
              <m:e>
                <m:r>
                  <w:rPr>
                    <w:rFonts w:ascii="Cambria Math" w:hAnsi="Cambria Math" w:cs="Times New Roman"/>
                    <w:snapToGrid w:val="0"/>
                  </w:rPr>
                  <m:t>A</m:t>
                </m:r>
              </m:e>
              <m:sub>
                <m:r>
                  <m:rPr>
                    <m:sty m:val="p"/>
                  </m:rPr>
                  <w:rPr>
                    <w:rFonts w:ascii="Cambria Math" w:hAnsi="Cambria Math" w:cs="Times New Roman"/>
                    <w:snapToGrid w:val="0"/>
                  </w:rPr>
                  <m:t>2+4</m:t>
                </m:r>
              </m:sub>
            </m:sSub>
          </m:den>
        </m:f>
      </m:oMath>
      <w:r w:rsidR="00415C34">
        <w:rPr>
          <w:snapToGrid w:val="0"/>
        </w:rPr>
        <w:tab/>
      </w:r>
      <w:r w:rsidR="00415C34">
        <w:rPr>
          <w:snapToGrid w:val="0"/>
        </w:rPr>
        <w:tab/>
      </w:r>
      <w:r w:rsidR="00415C34">
        <w:rPr>
          <w:rFonts w:hint="eastAsia"/>
          <w:snapToGrid w:val="0"/>
        </w:rPr>
        <w:t>(1)</w:t>
      </w:r>
    </w:p>
    <w:p w14:paraId="5AB228A7" w14:textId="77777777" w:rsidR="006E31F7" w:rsidRDefault="00000000" w:rsidP="003261A5">
      <w:pPr>
        <w:ind w:firstLineChars="0" w:firstLine="0"/>
        <w:jc w:val="center"/>
      </w:pPr>
      <w:r>
        <w:rPr>
          <w:noProof/>
        </w:rPr>
        <w:lastRenderedPageBreak/>
        <w:drawing>
          <wp:inline distT="0" distB="0" distL="0" distR="0" wp14:anchorId="6ABC9ECA" wp14:editId="681BD25C">
            <wp:extent cx="5467537" cy="2500745"/>
            <wp:effectExtent l="0" t="0" r="0" b="0"/>
            <wp:docPr id="26187149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71492" name="图片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1071" cy="2529804"/>
                    </a:xfrm>
                    <a:prstGeom prst="rect">
                      <a:avLst/>
                    </a:prstGeom>
                  </pic:spPr>
                </pic:pic>
              </a:graphicData>
            </a:graphic>
          </wp:inline>
        </w:drawing>
      </w:r>
    </w:p>
    <w:p w14:paraId="22E3BE44" w14:textId="17AF4E5F" w:rsidR="00875046" w:rsidRPr="00202466" w:rsidRDefault="00875046" w:rsidP="009C49AF">
      <w:pPr>
        <w:ind w:firstLineChars="0" w:firstLine="0"/>
      </w:pPr>
      <w:r w:rsidRPr="00202466">
        <w:rPr>
          <w:b/>
          <w:bCs/>
        </w:rPr>
        <w:t>Fig</w:t>
      </w:r>
      <w:r w:rsidR="00297D33">
        <w:rPr>
          <w:rFonts w:hint="eastAsia"/>
          <w:b/>
          <w:bCs/>
        </w:rPr>
        <w:t>ure</w:t>
      </w:r>
      <w:r w:rsidRPr="00202466">
        <w:rPr>
          <w:b/>
          <w:bCs/>
        </w:rPr>
        <w:t xml:space="preserve"> 2.</w:t>
      </w:r>
      <w:r w:rsidRPr="00202466">
        <w:t xml:space="preserve"> Typical ¹H-NMR spectrum of PVB. AD is defined as the molar ratio of substituted OH groups to original OH groups. Based on the segment ratios shown in Figure 3, AD is defined as: AD = 2y/(x+2y+z)</w:t>
      </w:r>
      <w:r w:rsidRPr="00202466">
        <w:rPr>
          <w:rFonts w:hint="eastAsia"/>
        </w:rPr>
        <w:t>.</w:t>
      </w:r>
    </w:p>
    <w:p w14:paraId="2E609FD2" w14:textId="2E7A3F86" w:rsidR="006E31F7" w:rsidRDefault="00000000" w:rsidP="009C49AF">
      <w:pPr>
        <w:ind w:firstLineChars="0" w:firstLine="0"/>
        <w:jc w:val="center"/>
      </w:pPr>
      <w:r>
        <w:rPr>
          <w:rFonts w:hint="eastAsia"/>
          <w:noProof/>
        </w:rPr>
        <w:drawing>
          <wp:inline distT="0" distB="0" distL="0" distR="0" wp14:anchorId="568CAE87" wp14:editId="4509F73A">
            <wp:extent cx="6120000" cy="3581558"/>
            <wp:effectExtent l="0" t="0" r="0" b="0"/>
            <wp:docPr id="9214350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35068" name="图片 3"/>
                    <pic:cNvPicPr>
                      <a:picLocks noChangeAspect="1"/>
                    </pic:cNvPicPr>
                  </pic:nvPicPr>
                  <pic:blipFill>
                    <a:blip r:embed="rId10" cstate="print">
                      <a:extLst>
                        <a:ext uri="{28A0092B-C50C-407E-A947-70E740481C1C}">
                          <a14:useLocalDpi xmlns:a14="http://schemas.microsoft.com/office/drawing/2010/main" val="0"/>
                        </a:ext>
                      </a:extLst>
                    </a:blip>
                    <a:srcRect l="3439" t="21699" r="2599"/>
                    <a:stretch>
                      <a:fillRect/>
                    </a:stretch>
                  </pic:blipFill>
                  <pic:spPr>
                    <a:xfrm>
                      <a:off x="0" y="0"/>
                      <a:ext cx="6120000" cy="3581558"/>
                    </a:xfrm>
                    <a:prstGeom prst="rect">
                      <a:avLst/>
                    </a:prstGeom>
                    <a:ln>
                      <a:noFill/>
                    </a:ln>
                  </pic:spPr>
                </pic:pic>
              </a:graphicData>
            </a:graphic>
          </wp:inline>
        </w:drawing>
      </w:r>
    </w:p>
    <w:p w14:paraId="68532AD6" w14:textId="4D7C6AE3" w:rsidR="00297D33" w:rsidRPr="00297D33" w:rsidRDefault="00875046" w:rsidP="00297D33">
      <w:pPr>
        <w:ind w:firstLineChars="0" w:firstLine="0"/>
        <w:rPr>
          <w:b/>
        </w:rPr>
      </w:pPr>
      <w:bookmarkStart w:id="2" w:name="OLE_LINK19"/>
      <w:r w:rsidRPr="00297D33">
        <w:rPr>
          <w:b/>
          <w:bCs/>
        </w:rPr>
        <w:t>Fig</w:t>
      </w:r>
      <w:r w:rsidR="00297D33">
        <w:rPr>
          <w:rFonts w:hint="eastAsia"/>
          <w:b/>
          <w:bCs/>
        </w:rPr>
        <w:t>ure</w:t>
      </w:r>
      <w:r w:rsidRPr="00297D33">
        <w:rPr>
          <w:b/>
          <w:bCs/>
        </w:rPr>
        <w:t xml:space="preserve"> 3.</w:t>
      </w:r>
      <w:r w:rsidRPr="00297D33">
        <w:t xml:space="preserve"> NMR spectral data for 30 samples from CCD experimental design</w:t>
      </w:r>
      <w:r w:rsidR="003261A5" w:rsidRPr="00297D33">
        <w:rPr>
          <w:rFonts w:hint="eastAsia"/>
        </w:rPr>
        <w:t>.</w:t>
      </w:r>
    </w:p>
    <w:bookmarkEnd w:id="2"/>
    <w:p w14:paraId="6B9AC70F" w14:textId="3CE2253A" w:rsidR="006E31F7" w:rsidRPr="00BE5DEB" w:rsidRDefault="00BE5DEB" w:rsidP="00BE5DEB">
      <w:pPr>
        <w:ind w:firstLineChars="0" w:firstLine="0"/>
        <w:rPr>
          <w:b/>
          <w:bCs/>
          <w:sz w:val="32"/>
          <w:szCs w:val="32"/>
        </w:rPr>
      </w:pPr>
      <w:r>
        <w:rPr>
          <w:rFonts w:hint="eastAsia"/>
          <w:b/>
          <w:bCs/>
          <w:sz w:val="32"/>
          <w:szCs w:val="32"/>
        </w:rPr>
        <w:t xml:space="preserve">4. </w:t>
      </w:r>
      <w:r w:rsidRPr="00BE5DEB">
        <w:rPr>
          <w:b/>
          <w:bCs/>
          <w:sz w:val="32"/>
          <w:szCs w:val="32"/>
        </w:rPr>
        <w:t>Determination of PVB particle size</w:t>
      </w:r>
    </w:p>
    <w:p w14:paraId="3A206651" w14:textId="77777777" w:rsidR="00875046" w:rsidRDefault="00875046" w:rsidP="003261A5">
      <w:pPr>
        <w:ind w:firstLine="480"/>
      </w:pPr>
      <w:r w:rsidRPr="00875046">
        <w:t xml:space="preserve">When a laser beam passes through a dispersed particle system, particles scatter the </w:t>
      </w:r>
      <w:r w:rsidRPr="00875046">
        <w:lastRenderedPageBreak/>
        <w:t xml:space="preserve">incident light, and the intensity and angular distribution of scattered light depend on particle size. Based on Mie scattering theory (applicable to any particle size-to-wavelength ratio) or Fraunhofer approximation (applicable when particle size is much larger than light wavelength), particle size analysis is performed by detecting scattered light patterns and back-calculating particle dimensions. For PVB particle size measurement and data characterization, based on laser diffraction principles, the </w:t>
      </w:r>
      <w:proofErr w:type="spellStart"/>
      <w:r w:rsidRPr="00875046">
        <w:t>Mastersizer</w:t>
      </w:r>
      <w:proofErr w:type="spellEnd"/>
      <w:r w:rsidRPr="00875046">
        <w:t xml:space="preserve"> 9000+ laser particle size analyzer was used with volume mean diameter </w:t>
      </w:r>
      <w:proofErr w:type="gramStart"/>
      <w:r w:rsidRPr="00875046">
        <w:t>D[</w:t>
      </w:r>
      <w:proofErr w:type="gramEnd"/>
      <w:r w:rsidRPr="00875046">
        <w:t>4,3] as the particle size measurement standard for data recording and analysis. Table 2 presents the particle size analysis results, clearly showing various indicators of PVB product particle size data analysis. Figure 4 shows the particle size distribution of this PVB product, while Figure 5 presents the measurement data for particle sizes of 30 PVB samples from the CCD design experiments.</w:t>
      </w:r>
    </w:p>
    <w:p w14:paraId="6AF71762" w14:textId="28E6D259" w:rsidR="006E31F7" w:rsidRDefault="00000000">
      <w:pPr>
        <w:ind w:firstLine="480"/>
        <w:jc w:val="center"/>
      </w:pPr>
      <w:r>
        <w:rPr>
          <w:noProof/>
          <w14:ligatures w14:val="none"/>
        </w:rPr>
        <w:drawing>
          <wp:inline distT="0" distB="0" distL="0" distR="0" wp14:anchorId="00D3A043" wp14:editId="36D898BB">
            <wp:extent cx="2880000" cy="2367934"/>
            <wp:effectExtent l="0" t="0" r="0" b="0"/>
            <wp:docPr id="8930670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67020"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367934"/>
                    </a:xfrm>
                    <a:prstGeom prst="rect">
                      <a:avLst/>
                    </a:prstGeom>
                  </pic:spPr>
                </pic:pic>
              </a:graphicData>
            </a:graphic>
          </wp:inline>
        </w:drawing>
      </w:r>
    </w:p>
    <w:p w14:paraId="2448ED5C" w14:textId="7A6C6D8B" w:rsidR="006E31F7" w:rsidRPr="00297D33" w:rsidRDefault="008327D3" w:rsidP="003261A5">
      <w:pPr>
        <w:ind w:firstLineChars="0" w:firstLine="0"/>
      </w:pPr>
      <w:r w:rsidRPr="00297D33">
        <w:rPr>
          <w:b/>
        </w:rPr>
        <w:t>Fig</w:t>
      </w:r>
      <w:r w:rsidR="00297D33">
        <w:rPr>
          <w:rFonts w:hint="eastAsia"/>
          <w:b/>
        </w:rPr>
        <w:t>ure</w:t>
      </w:r>
      <w:r w:rsidRPr="00297D33">
        <w:rPr>
          <w:b/>
        </w:rPr>
        <w:t xml:space="preserve"> 4. </w:t>
      </w:r>
      <w:r w:rsidRPr="00297D33">
        <w:t>PVB product particle size distribution data</w:t>
      </w:r>
      <w:r w:rsidR="003261A5" w:rsidRPr="00297D33">
        <w:rPr>
          <w:rFonts w:hint="eastAsia"/>
        </w:rPr>
        <w:t>.</w:t>
      </w:r>
    </w:p>
    <w:p w14:paraId="1CC6A57C" w14:textId="77777777" w:rsidR="006E31F7" w:rsidRDefault="00000000">
      <w:pPr>
        <w:ind w:firstLineChars="0" w:firstLine="0"/>
        <w:jc w:val="center"/>
      </w:pPr>
      <w:r>
        <w:rPr>
          <w:rFonts w:hint="eastAsia"/>
          <w:noProof/>
          <w14:ligatures w14:val="none"/>
        </w:rPr>
        <w:drawing>
          <wp:inline distT="0" distB="0" distL="0" distR="0" wp14:anchorId="15E7EB0D" wp14:editId="0E765A96">
            <wp:extent cx="5400000" cy="2640186"/>
            <wp:effectExtent l="0" t="0" r="0" b="8255"/>
            <wp:docPr id="9966743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74363" name="图片 4"/>
                    <pic:cNvPicPr>
                      <a:picLocks noChangeAspect="1"/>
                    </pic:cNvPicPr>
                  </pic:nvPicPr>
                  <pic:blipFill>
                    <a:blip r:embed="rId12" cstate="print">
                      <a:extLst>
                        <a:ext uri="{28A0092B-C50C-407E-A947-70E740481C1C}">
                          <a14:useLocalDpi xmlns:a14="http://schemas.microsoft.com/office/drawing/2010/main" val="0"/>
                        </a:ext>
                      </a:extLst>
                    </a:blip>
                    <a:srcRect b="13079"/>
                    <a:stretch>
                      <a:fillRect/>
                    </a:stretch>
                  </pic:blipFill>
                  <pic:spPr>
                    <a:xfrm>
                      <a:off x="0" y="0"/>
                      <a:ext cx="5400000" cy="2640186"/>
                    </a:xfrm>
                    <a:prstGeom prst="rect">
                      <a:avLst/>
                    </a:prstGeom>
                    <a:ln>
                      <a:noFill/>
                    </a:ln>
                  </pic:spPr>
                </pic:pic>
              </a:graphicData>
            </a:graphic>
          </wp:inline>
        </w:drawing>
      </w:r>
    </w:p>
    <w:p w14:paraId="0BC74F55" w14:textId="77777777" w:rsidR="006E31F7" w:rsidRDefault="00000000">
      <w:pPr>
        <w:ind w:firstLineChars="0" w:firstLine="0"/>
        <w:jc w:val="center"/>
      </w:pPr>
      <w:r>
        <w:rPr>
          <w:rFonts w:hint="eastAsia"/>
          <w:noProof/>
          <w14:ligatures w14:val="none"/>
        </w:rPr>
        <w:lastRenderedPageBreak/>
        <w:drawing>
          <wp:inline distT="0" distB="0" distL="0" distR="0" wp14:anchorId="5C9E6754" wp14:editId="4AE34173">
            <wp:extent cx="5400000" cy="2634016"/>
            <wp:effectExtent l="0" t="0" r="0" b="0"/>
            <wp:docPr id="13947596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59670" name="图片 5"/>
                    <pic:cNvPicPr>
                      <a:picLocks noChangeAspect="1"/>
                    </pic:cNvPicPr>
                  </pic:nvPicPr>
                  <pic:blipFill>
                    <a:blip r:embed="rId13" cstate="print">
                      <a:extLst>
                        <a:ext uri="{28A0092B-C50C-407E-A947-70E740481C1C}">
                          <a14:useLocalDpi xmlns:a14="http://schemas.microsoft.com/office/drawing/2010/main" val="0"/>
                        </a:ext>
                      </a:extLst>
                    </a:blip>
                    <a:srcRect b="13277"/>
                    <a:stretch>
                      <a:fillRect/>
                    </a:stretch>
                  </pic:blipFill>
                  <pic:spPr>
                    <a:xfrm>
                      <a:off x="0" y="0"/>
                      <a:ext cx="5400000" cy="2634016"/>
                    </a:xfrm>
                    <a:prstGeom prst="rect">
                      <a:avLst/>
                    </a:prstGeom>
                    <a:ln>
                      <a:noFill/>
                    </a:ln>
                  </pic:spPr>
                </pic:pic>
              </a:graphicData>
            </a:graphic>
          </wp:inline>
        </w:drawing>
      </w:r>
    </w:p>
    <w:p w14:paraId="48BC638E" w14:textId="7F06DCB9" w:rsidR="008327D3" w:rsidRPr="00297D33" w:rsidRDefault="008327D3" w:rsidP="00297D33">
      <w:pPr>
        <w:ind w:firstLineChars="0" w:firstLine="0"/>
      </w:pPr>
      <w:r w:rsidRPr="00297D33">
        <w:rPr>
          <w:b/>
          <w:bCs/>
        </w:rPr>
        <w:t>Fig</w:t>
      </w:r>
      <w:r w:rsidR="00297D33">
        <w:rPr>
          <w:rFonts w:hint="eastAsia"/>
          <w:b/>
          <w:bCs/>
        </w:rPr>
        <w:t>ure</w:t>
      </w:r>
      <w:r w:rsidRPr="00297D33">
        <w:rPr>
          <w:b/>
          <w:bCs/>
        </w:rPr>
        <w:t xml:space="preserve"> 5.</w:t>
      </w:r>
      <w:r w:rsidRPr="00297D33">
        <w:t xml:space="preserve"> Particle size distribution data for 30 samples from CCD experimental design</w:t>
      </w:r>
      <w:r w:rsidR="003261A5" w:rsidRPr="00297D33">
        <w:rPr>
          <w:rFonts w:hint="eastAsia"/>
        </w:rPr>
        <w:t>.</w:t>
      </w:r>
    </w:p>
    <w:p w14:paraId="0DBD0345" w14:textId="67F0F631" w:rsidR="006E31F7" w:rsidRPr="00297D33" w:rsidRDefault="008327D3" w:rsidP="00297D33">
      <w:pPr>
        <w:ind w:firstLineChars="0" w:firstLine="0"/>
        <w:rPr>
          <w:b/>
          <w:bCs/>
        </w:rPr>
      </w:pPr>
      <w:r w:rsidRPr="00297D33">
        <w:rPr>
          <w:b/>
          <w:bCs/>
        </w:rPr>
        <w:t>Table 3</w:t>
      </w:r>
      <w:r w:rsidR="00297D33">
        <w:rPr>
          <w:rFonts w:hint="eastAsia"/>
          <w:b/>
          <w:bCs/>
        </w:rPr>
        <w:t xml:space="preserve">. </w:t>
      </w:r>
      <w:r w:rsidRPr="00AE6ED7">
        <w:t>PVB Particle Size Analysis</w:t>
      </w:r>
      <w:r w:rsidR="00AE6ED7">
        <w:rPr>
          <w:rFonts w:hint="eastAsia"/>
        </w:rPr>
        <w:t>.</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6091"/>
        <w:gridCol w:w="2867"/>
      </w:tblGrid>
      <w:tr w:rsidR="008327D3" w:rsidRPr="008327D3" w14:paraId="0BD0753F" w14:textId="77777777" w:rsidTr="00AE6ED7">
        <w:trPr>
          <w:jc w:val="center"/>
        </w:trPr>
        <w:tc>
          <w:tcPr>
            <w:tcW w:w="3400" w:type="pct"/>
            <w:tcBorders>
              <w:top w:val="single" w:sz="12" w:space="0" w:color="auto"/>
              <w:bottom w:val="single" w:sz="8" w:space="0" w:color="auto"/>
            </w:tcBorders>
            <w:vAlign w:val="center"/>
            <w:hideMark/>
          </w:tcPr>
          <w:p w14:paraId="1461BFF7" w14:textId="77777777" w:rsidR="008327D3" w:rsidRPr="00AE6ED7" w:rsidRDefault="008327D3" w:rsidP="00AE6ED7">
            <w:pPr>
              <w:ind w:firstLineChars="0" w:firstLine="0"/>
              <w:jc w:val="left"/>
              <w:rPr>
                <w:sz w:val="21"/>
                <w:szCs w:val="21"/>
              </w:rPr>
            </w:pPr>
            <w:r w:rsidRPr="00AE6ED7">
              <w:rPr>
                <w:sz w:val="21"/>
                <w:szCs w:val="21"/>
              </w:rPr>
              <w:t>Particle Size Char</w:t>
            </w:r>
            <w:bookmarkStart w:id="3" w:name="OLE_LINK5"/>
            <w:r w:rsidRPr="00AE6ED7">
              <w:rPr>
                <w:sz w:val="21"/>
                <w:szCs w:val="21"/>
              </w:rPr>
              <w:t>ac</w:t>
            </w:r>
            <w:bookmarkEnd w:id="3"/>
            <w:r w:rsidRPr="00AE6ED7">
              <w:rPr>
                <w:sz w:val="21"/>
                <w:szCs w:val="21"/>
              </w:rPr>
              <w:t>teristics</w:t>
            </w:r>
          </w:p>
        </w:tc>
        <w:tc>
          <w:tcPr>
            <w:tcW w:w="1600" w:type="pct"/>
            <w:tcBorders>
              <w:top w:val="single" w:sz="12" w:space="0" w:color="auto"/>
              <w:bottom w:val="single" w:sz="8" w:space="0" w:color="auto"/>
            </w:tcBorders>
            <w:vAlign w:val="center"/>
            <w:hideMark/>
          </w:tcPr>
          <w:p w14:paraId="050E2C91" w14:textId="77777777" w:rsidR="008327D3" w:rsidRPr="00AE6ED7" w:rsidRDefault="008327D3" w:rsidP="00AE6ED7">
            <w:pPr>
              <w:ind w:firstLineChars="0" w:firstLine="0"/>
              <w:jc w:val="left"/>
              <w:rPr>
                <w:sz w:val="21"/>
                <w:szCs w:val="21"/>
              </w:rPr>
            </w:pPr>
            <w:r w:rsidRPr="00AE6ED7">
              <w:rPr>
                <w:sz w:val="21"/>
                <w:szCs w:val="21"/>
              </w:rPr>
              <w:t>Data Results</w:t>
            </w:r>
          </w:p>
        </w:tc>
      </w:tr>
      <w:tr w:rsidR="008327D3" w:rsidRPr="008327D3" w14:paraId="1E712460" w14:textId="77777777" w:rsidTr="00AE6ED7">
        <w:trPr>
          <w:jc w:val="center"/>
        </w:trPr>
        <w:tc>
          <w:tcPr>
            <w:tcW w:w="3400" w:type="pct"/>
            <w:tcBorders>
              <w:top w:val="single" w:sz="8" w:space="0" w:color="auto"/>
            </w:tcBorders>
            <w:vAlign w:val="center"/>
            <w:hideMark/>
          </w:tcPr>
          <w:p w14:paraId="572E98B3" w14:textId="77777777" w:rsidR="008327D3" w:rsidRPr="00AE6ED7" w:rsidRDefault="008327D3" w:rsidP="00AE6ED7">
            <w:pPr>
              <w:ind w:firstLineChars="0" w:firstLine="0"/>
              <w:jc w:val="left"/>
              <w:rPr>
                <w:sz w:val="21"/>
                <w:szCs w:val="21"/>
              </w:rPr>
            </w:pPr>
            <w:r w:rsidRPr="00AE6ED7">
              <w:rPr>
                <w:sz w:val="21"/>
                <w:szCs w:val="21"/>
              </w:rPr>
              <w:t>Concentration (%)</w:t>
            </w:r>
          </w:p>
        </w:tc>
        <w:tc>
          <w:tcPr>
            <w:tcW w:w="1600" w:type="pct"/>
            <w:tcBorders>
              <w:top w:val="single" w:sz="8" w:space="0" w:color="auto"/>
            </w:tcBorders>
            <w:vAlign w:val="center"/>
            <w:hideMark/>
          </w:tcPr>
          <w:p w14:paraId="31A4E850" w14:textId="77777777" w:rsidR="008327D3" w:rsidRPr="00AE6ED7" w:rsidRDefault="008327D3" w:rsidP="00AE6ED7">
            <w:pPr>
              <w:ind w:firstLineChars="0" w:firstLine="0"/>
              <w:jc w:val="left"/>
              <w:rPr>
                <w:sz w:val="21"/>
                <w:szCs w:val="21"/>
              </w:rPr>
            </w:pPr>
            <w:r w:rsidRPr="00AE6ED7">
              <w:rPr>
                <w:sz w:val="21"/>
                <w:szCs w:val="21"/>
              </w:rPr>
              <w:t>0.0881</w:t>
            </w:r>
          </w:p>
        </w:tc>
      </w:tr>
      <w:tr w:rsidR="008327D3" w:rsidRPr="008327D3" w14:paraId="0BAF2D11" w14:textId="77777777" w:rsidTr="00AE6ED7">
        <w:trPr>
          <w:jc w:val="center"/>
        </w:trPr>
        <w:tc>
          <w:tcPr>
            <w:tcW w:w="3400" w:type="pct"/>
            <w:vAlign w:val="center"/>
            <w:hideMark/>
          </w:tcPr>
          <w:p w14:paraId="758D2C25" w14:textId="77777777" w:rsidR="008327D3" w:rsidRPr="00AE6ED7" w:rsidRDefault="008327D3" w:rsidP="00AE6ED7">
            <w:pPr>
              <w:ind w:firstLineChars="0" w:firstLine="0"/>
              <w:jc w:val="left"/>
              <w:rPr>
                <w:sz w:val="21"/>
                <w:szCs w:val="21"/>
              </w:rPr>
            </w:pPr>
            <w:r w:rsidRPr="00AE6ED7">
              <w:rPr>
                <w:sz w:val="21"/>
                <w:szCs w:val="21"/>
              </w:rPr>
              <w:t>Span</w:t>
            </w:r>
          </w:p>
        </w:tc>
        <w:tc>
          <w:tcPr>
            <w:tcW w:w="1600" w:type="pct"/>
            <w:vAlign w:val="center"/>
            <w:hideMark/>
          </w:tcPr>
          <w:p w14:paraId="43E38D43" w14:textId="77777777" w:rsidR="008327D3" w:rsidRPr="00AE6ED7" w:rsidRDefault="008327D3" w:rsidP="00AE6ED7">
            <w:pPr>
              <w:ind w:firstLineChars="0" w:firstLine="0"/>
              <w:jc w:val="left"/>
              <w:rPr>
                <w:sz w:val="21"/>
                <w:szCs w:val="21"/>
              </w:rPr>
            </w:pPr>
            <w:r w:rsidRPr="00AE6ED7">
              <w:rPr>
                <w:sz w:val="21"/>
                <w:szCs w:val="21"/>
              </w:rPr>
              <w:t>0.764</w:t>
            </w:r>
          </w:p>
        </w:tc>
      </w:tr>
      <w:tr w:rsidR="008327D3" w:rsidRPr="008327D3" w14:paraId="4F81287C" w14:textId="77777777" w:rsidTr="00AE6ED7">
        <w:trPr>
          <w:jc w:val="center"/>
        </w:trPr>
        <w:tc>
          <w:tcPr>
            <w:tcW w:w="3400" w:type="pct"/>
            <w:vAlign w:val="center"/>
            <w:hideMark/>
          </w:tcPr>
          <w:p w14:paraId="5A60A3F7" w14:textId="77777777" w:rsidR="008327D3" w:rsidRPr="00AE6ED7" w:rsidRDefault="008327D3" w:rsidP="00AE6ED7">
            <w:pPr>
              <w:ind w:firstLineChars="0" w:firstLine="0"/>
              <w:jc w:val="left"/>
              <w:rPr>
                <w:sz w:val="21"/>
                <w:szCs w:val="21"/>
              </w:rPr>
            </w:pPr>
            <w:r w:rsidRPr="00AE6ED7">
              <w:rPr>
                <w:sz w:val="21"/>
                <w:szCs w:val="21"/>
              </w:rPr>
              <w:t>Uniformity</w:t>
            </w:r>
          </w:p>
        </w:tc>
        <w:tc>
          <w:tcPr>
            <w:tcW w:w="1600" w:type="pct"/>
            <w:vAlign w:val="center"/>
            <w:hideMark/>
          </w:tcPr>
          <w:p w14:paraId="487F1CD0" w14:textId="77777777" w:rsidR="008327D3" w:rsidRPr="00AE6ED7" w:rsidRDefault="008327D3" w:rsidP="00AE6ED7">
            <w:pPr>
              <w:ind w:firstLineChars="0" w:firstLine="0"/>
              <w:jc w:val="left"/>
              <w:rPr>
                <w:sz w:val="21"/>
                <w:szCs w:val="21"/>
              </w:rPr>
            </w:pPr>
            <w:r w:rsidRPr="00AE6ED7">
              <w:rPr>
                <w:sz w:val="21"/>
                <w:szCs w:val="21"/>
              </w:rPr>
              <w:t>0.238</w:t>
            </w:r>
          </w:p>
        </w:tc>
      </w:tr>
      <w:tr w:rsidR="008327D3" w:rsidRPr="008327D3" w14:paraId="55B7627B" w14:textId="77777777" w:rsidTr="00AE6ED7">
        <w:trPr>
          <w:jc w:val="center"/>
        </w:trPr>
        <w:tc>
          <w:tcPr>
            <w:tcW w:w="3400" w:type="pct"/>
            <w:vAlign w:val="center"/>
            <w:hideMark/>
          </w:tcPr>
          <w:p w14:paraId="28FAFD7B" w14:textId="77777777" w:rsidR="008327D3" w:rsidRPr="00AE6ED7" w:rsidRDefault="008327D3" w:rsidP="00AE6ED7">
            <w:pPr>
              <w:ind w:firstLineChars="0" w:firstLine="0"/>
              <w:jc w:val="left"/>
              <w:rPr>
                <w:sz w:val="21"/>
                <w:szCs w:val="21"/>
              </w:rPr>
            </w:pPr>
            <w:r w:rsidRPr="00AE6ED7">
              <w:rPr>
                <w:sz w:val="21"/>
                <w:szCs w:val="21"/>
              </w:rPr>
              <w:t>Specific surface area (m²kg⁻¹)</w:t>
            </w:r>
          </w:p>
        </w:tc>
        <w:tc>
          <w:tcPr>
            <w:tcW w:w="1600" w:type="pct"/>
            <w:vAlign w:val="center"/>
            <w:hideMark/>
          </w:tcPr>
          <w:p w14:paraId="3FDB28C2" w14:textId="77777777" w:rsidR="008327D3" w:rsidRPr="00AE6ED7" w:rsidRDefault="008327D3" w:rsidP="00AE6ED7">
            <w:pPr>
              <w:ind w:firstLineChars="0" w:firstLine="0"/>
              <w:jc w:val="left"/>
              <w:rPr>
                <w:sz w:val="21"/>
                <w:szCs w:val="21"/>
              </w:rPr>
            </w:pPr>
            <w:r w:rsidRPr="00AE6ED7">
              <w:rPr>
                <w:sz w:val="21"/>
                <w:szCs w:val="21"/>
              </w:rPr>
              <w:t>40.43</w:t>
            </w:r>
          </w:p>
        </w:tc>
      </w:tr>
      <w:tr w:rsidR="008327D3" w:rsidRPr="008327D3" w14:paraId="6F7238FF" w14:textId="77777777" w:rsidTr="00AE6ED7">
        <w:trPr>
          <w:jc w:val="center"/>
        </w:trPr>
        <w:tc>
          <w:tcPr>
            <w:tcW w:w="3400" w:type="pct"/>
            <w:vAlign w:val="center"/>
            <w:hideMark/>
          </w:tcPr>
          <w:p w14:paraId="7749F7E0" w14:textId="77777777" w:rsidR="008327D3" w:rsidRPr="00AE6ED7" w:rsidRDefault="008327D3" w:rsidP="00AE6ED7">
            <w:pPr>
              <w:ind w:firstLineChars="0" w:firstLine="0"/>
              <w:jc w:val="left"/>
              <w:rPr>
                <w:sz w:val="21"/>
                <w:szCs w:val="21"/>
              </w:rPr>
            </w:pPr>
            <w:proofErr w:type="gramStart"/>
            <w:r w:rsidRPr="00AE6ED7">
              <w:rPr>
                <w:sz w:val="21"/>
                <w:szCs w:val="21"/>
              </w:rPr>
              <w:t>D[</w:t>
            </w:r>
            <w:proofErr w:type="gramEnd"/>
            <w:r w:rsidRPr="00AE6ED7">
              <w:rPr>
                <w:sz w:val="21"/>
                <w:szCs w:val="21"/>
              </w:rPr>
              <w:t>3,2] (</w:t>
            </w:r>
            <w:proofErr w:type="spellStart"/>
            <w:r w:rsidRPr="00AE6ED7">
              <w:rPr>
                <w:sz w:val="21"/>
                <w:szCs w:val="21"/>
              </w:rPr>
              <w:t>μm</w:t>
            </w:r>
            <w:proofErr w:type="spellEnd"/>
            <w:r w:rsidRPr="00AE6ED7">
              <w:rPr>
                <w:sz w:val="21"/>
                <w:szCs w:val="21"/>
              </w:rPr>
              <w:t>)</w:t>
            </w:r>
          </w:p>
        </w:tc>
        <w:tc>
          <w:tcPr>
            <w:tcW w:w="1600" w:type="pct"/>
            <w:vAlign w:val="center"/>
            <w:hideMark/>
          </w:tcPr>
          <w:p w14:paraId="6BB73B7E" w14:textId="77777777" w:rsidR="008327D3" w:rsidRPr="00AE6ED7" w:rsidRDefault="008327D3" w:rsidP="00AE6ED7">
            <w:pPr>
              <w:ind w:firstLineChars="0" w:firstLine="0"/>
              <w:jc w:val="left"/>
              <w:rPr>
                <w:sz w:val="21"/>
                <w:szCs w:val="21"/>
              </w:rPr>
            </w:pPr>
            <w:r w:rsidRPr="00AE6ED7">
              <w:rPr>
                <w:sz w:val="21"/>
                <w:szCs w:val="21"/>
              </w:rPr>
              <w:t>139</w:t>
            </w:r>
          </w:p>
        </w:tc>
      </w:tr>
      <w:tr w:rsidR="008327D3" w:rsidRPr="008327D3" w14:paraId="179F295D" w14:textId="77777777" w:rsidTr="00AE6ED7">
        <w:trPr>
          <w:jc w:val="center"/>
        </w:trPr>
        <w:tc>
          <w:tcPr>
            <w:tcW w:w="3400" w:type="pct"/>
            <w:vAlign w:val="center"/>
            <w:hideMark/>
          </w:tcPr>
          <w:p w14:paraId="0C0181F4" w14:textId="77777777" w:rsidR="008327D3" w:rsidRPr="00AE6ED7" w:rsidRDefault="008327D3" w:rsidP="00AE6ED7">
            <w:pPr>
              <w:ind w:firstLineChars="0" w:firstLine="0"/>
              <w:jc w:val="left"/>
              <w:rPr>
                <w:sz w:val="21"/>
                <w:szCs w:val="21"/>
              </w:rPr>
            </w:pPr>
            <w:proofErr w:type="gramStart"/>
            <w:r w:rsidRPr="00AE6ED7">
              <w:rPr>
                <w:sz w:val="21"/>
                <w:szCs w:val="21"/>
              </w:rPr>
              <w:t>D[</w:t>
            </w:r>
            <w:proofErr w:type="gramEnd"/>
            <w:r w:rsidRPr="00AE6ED7">
              <w:rPr>
                <w:sz w:val="21"/>
                <w:szCs w:val="21"/>
              </w:rPr>
              <w:t>4,3] (</w:t>
            </w:r>
            <w:proofErr w:type="spellStart"/>
            <w:r w:rsidRPr="00AE6ED7">
              <w:rPr>
                <w:sz w:val="21"/>
                <w:szCs w:val="21"/>
              </w:rPr>
              <w:t>μm</w:t>
            </w:r>
            <w:proofErr w:type="spellEnd"/>
            <w:r w:rsidRPr="00AE6ED7">
              <w:rPr>
                <w:sz w:val="21"/>
                <w:szCs w:val="21"/>
              </w:rPr>
              <w:t>)</w:t>
            </w:r>
          </w:p>
        </w:tc>
        <w:tc>
          <w:tcPr>
            <w:tcW w:w="1600" w:type="pct"/>
            <w:vAlign w:val="center"/>
            <w:hideMark/>
          </w:tcPr>
          <w:p w14:paraId="30E33619" w14:textId="77777777" w:rsidR="008327D3" w:rsidRPr="00AE6ED7" w:rsidRDefault="008327D3" w:rsidP="00AE6ED7">
            <w:pPr>
              <w:ind w:firstLineChars="0" w:firstLine="0"/>
              <w:jc w:val="left"/>
              <w:rPr>
                <w:sz w:val="21"/>
                <w:szCs w:val="21"/>
              </w:rPr>
            </w:pPr>
            <w:r w:rsidRPr="00AE6ED7">
              <w:rPr>
                <w:sz w:val="21"/>
                <w:szCs w:val="21"/>
              </w:rPr>
              <w:t>150</w:t>
            </w:r>
          </w:p>
        </w:tc>
      </w:tr>
    </w:tbl>
    <w:p w14:paraId="2B67744F" w14:textId="746825A2" w:rsidR="006E31F7" w:rsidRPr="00297D33" w:rsidRDefault="008327D3" w:rsidP="00AE6ED7">
      <w:pPr>
        <w:ind w:firstLineChars="0" w:firstLine="0"/>
      </w:pPr>
      <w:r w:rsidRPr="00297D33">
        <w:t xml:space="preserve">The particle size analysis data presented is one component of the data analysis content, derived from </w:t>
      </w:r>
      <w:r w:rsidR="00B073FB">
        <w:rPr>
          <w:rFonts w:hint="eastAsia"/>
        </w:rPr>
        <w:t>No.</w:t>
      </w:r>
      <w:r w:rsidRPr="00297D33">
        <w:t>1 of the CCD experimental results. Detailed data can be referenced in the RSM model construction section of the main text.</w:t>
      </w:r>
    </w:p>
    <w:sectPr w:rsidR="006E31F7" w:rsidRPr="00297D33">
      <w:headerReference w:type="even" r:id="rId14"/>
      <w:headerReference w:type="default" r:id="rId15"/>
      <w:footerReference w:type="even" r:id="rId16"/>
      <w:footerReference w:type="default" r:id="rId17"/>
      <w:headerReference w:type="first" r:id="rId18"/>
      <w:footerReference w:type="first" r:id="rId19"/>
      <w:pgSz w:w="11906" w:h="16838"/>
      <w:pgMar w:top="1474" w:right="1474" w:bottom="1474" w:left="147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D347" w14:textId="77777777" w:rsidR="007F2674" w:rsidRDefault="007F2674">
      <w:pPr>
        <w:spacing w:line="240" w:lineRule="auto"/>
        <w:ind w:firstLine="480"/>
      </w:pPr>
      <w:r>
        <w:separator/>
      </w:r>
    </w:p>
  </w:endnote>
  <w:endnote w:type="continuationSeparator" w:id="0">
    <w:p w14:paraId="2F4EE60F" w14:textId="77777777" w:rsidR="007F2674" w:rsidRDefault="007F267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29D0" w14:textId="77777777" w:rsidR="006E31F7" w:rsidRDefault="006E31F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451B" w14:textId="77777777" w:rsidR="006E31F7" w:rsidRDefault="006E31F7">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DDF8" w14:textId="77777777" w:rsidR="006E31F7" w:rsidRDefault="006E31F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3A17" w14:textId="77777777" w:rsidR="007F2674" w:rsidRDefault="007F2674">
      <w:pPr>
        <w:spacing w:before="0" w:after="0"/>
        <w:ind w:firstLine="480"/>
      </w:pPr>
      <w:r>
        <w:separator/>
      </w:r>
    </w:p>
  </w:footnote>
  <w:footnote w:type="continuationSeparator" w:id="0">
    <w:p w14:paraId="2069825E" w14:textId="77777777" w:rsidR="007F2674" w:rsidRDefault="007F2674">
      <w:pPr>
        <w:spacing w:before="0" w:after="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1E6C" w14:textId="77777777" w:rsidR="006E31F7" w:rsidRDefault="006E31F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33E5" w14:textId="77777777" w:rsidR="006E31F7" w:rsidRDefault="006E31F7">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E248" w14:textId="77777777" w:rsidR="006E31F7" w:rsidRDefault="006E31F7">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78BC"/>
    <w:multiLevelType w:val="multilevel"/>
    <w:tmpl w:val="1B0078BC"/>
    <w:lvl w:ilvl="0">
      <w:start w:val="1"/>
      <w:numFmt w:val="decimal"/>
      <w:lvlText w:val="（%1）"/>
      <w:lvlJc w:val="left"/>
      <w:pPr>
        <w:ind w:left="840" w:hanging="360"/>
      </w:pPr>
      <w:rPr>
        <w:rFonts w:hint="eastAsia"/>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D79682D"/>
    <w:multiLevelType w:val="hybridMultilevel"/>
    <w:tmpl w:val="18A00A52"/>
    <w:lvl w:ilvl="0" w:tplc="8B1407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66383F"/>
    <w:multiLevelType w:val="hybridMultilevel"/>
    <w:tmpl w:val="883AAE38"/>
    <w:lvl w:ilvl="0" w:tplc="83BE8C32">
      <w:start w:val="1"/>
      <w:numFmt w:val="decimal"/>
      <w:lvlText w:val="（%1）"/>
      <w:lvlJc w:val="left"/>
      <w:pPr>
        <w:ind w:left="920" w:hanging="44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46E926F7"/>
    <w:multiLevelType w:val="hybridMultilevel"/>
    <w:tmpl w:val="95B4AEDC"/>
    <w:lvl w:ilvl="0" w:tplc="68D08C94">
      <w:numFmt w:val="bullet"/>
      <w:lvlText w:val=""/>
      <w:lvlJc w:val="left"/>
      <w:pPr>
        <w:ind w:left="970" w:hanging="490"/>
      </w:pPr>
      <w:rPr>
        <w:rFonts w:ascii="Times New Roman" w:eastAsia="宋体" w:hAnsi="Times New Roman" w:cs="Times New Roman"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49964492"/>
    <w:multiLevelType w:val="hybridMultilevel"/>
    <w:tmpl w:val="805AA196"/>
    <w:lvl w:ilvl="0" w:tplc="803E57BE">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080812"/>
    <w:multiLevelType w:val="hybridMultilevel"/>
    <w:tmpl w:val="A9106164"/>
    <w:lvl w:ilvl="0" w:tplc="FDBE0D10">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5E8A0F90"/>
    <w:multiLevelType w:val="hybridMultilevel"/>
    <w:tmpl w:val="992A718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7" w15:restartNumberingAfterBreak="0">
    <w:nsid w:val="62FC24CC"/>
    <w:multiLevelType w:val="multilevel"/>
    <w:tmpl w:val="62FC24CC"/>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567"/>
      </w:pPr>
      <w:rPr>
        <w:rFonts w:hint="eastAsia"/>
      </w:rPr>
    </w:lvl>
    <w:lvl w:ilvl="2">
      <w:start w:val="1"/>
      <w:numFmt w:val="decimal"/>
      <w:pStyle w:val="3"/>
      <w:suff w:val="space"/>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38717690">
    <w:abstractNumId w:val="7"/>
  </w:num>
  <w:num w:numId="2" w16cid:durableId="1194658482">
    <w:abstractNumId w:val="0"/>
  </w:num>
  <w:num w:numId="3" w16cid:durableId="544565317">
    <w:abstractNumId w:val="6"/>
  </w:num>
  <w:num w:numId="4" w16cid:durableId="86196289">
    <w:abstractNumId w:val="3"/>
  </w:num>
  <w:num w:numId="5" w16cid:durableId="1365863449">
    <w:abstractNumId w:val="5"/>
  </w:num>
  <w:num w:numId="6" w16cid:durableId="229313334">
    <w:abstractNumId w:val="2"/>
  </w:num>
  <w:num w:numId="7" w16cid:durableId="612828361">
    <w:abstractNumId w:val="1"/>
  </w:num>
  <w:num w:numId="8" w16cid:durableId="181274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hZGY0ZTViYWQyN2I0ZGJhNDk0OThkMjNkNmQ2MDYifQ=="/>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55f9t582rwt4e25dc5es53t0rrav5ptxde&quot;&gt;11-20&lt;record-ids&gt;&lt;item&gt;1&lt;/item&gt;&lt;item&gt;2&lt;/item&gt;&lt;item&gt;3&lt;/item&gt;&lt;item&gt;4&lt;/item&gt;&lt;item&gt;5&lt;/item&gt;&lt;item&gt;6&lt;/item&gt;&lt;item&gt;7&lt;/item&gt;&lt;item&gt;8&lt;/item&gt;&lt;item&gt;9&lt;/item&gt;&lt;/record-ids&gt;&lt;/item&gt;&lt;item db-id=&quot;ddf059swi0xttfeddv3v2srkfvts295wra5r&quot;&gt;1-10&lt;record-ids&gt;&lt;item&gt;1&lt;/item&gt;&lt;item&gt;2&lt;/item&gt;&lt;item&gt;3&lt;/item&gt;&lt;item&gt;4&lt;/item&gt;&lt;item&gt;5&lt;/item&gt;&lt;item&gt;6&lt;/item&gt;&lt;item&gt;7&lt;/item&gt;&lt;item&gt;8&lt;/item&gt;&lt;item&gt;9&lt;/item&gt;&lt;item&gt;10&lt;/item&gt;&lt;/record-ids&gt;&lt;/item&gt;&lt;/Libraries&gt;"/>
  </w:docVars>
  <w:rsids>
    <w:rsidRoot w:val="002B5AE1"/>
    <w:rsid w:val="000031AB"/>
    <w:rsid w:val="0005639D"/>
    <w:rsid w:val="000C0C18"/>
    <w:rsid w:val="00136839"/>
    <w:rsid w:val="00151B79"/>
    <w:rsid w:val="00154B24"/>
    <w:rsid w:val="001632FC"/>
    <w:rsid w:val="001C5328"/>
    <w:rsid w:val="00202466"/>
    <w:rsid w:val="00237686"/>
    <w:rsid w:val="002420BB"/>
    <w:rsid w:val="00263096"/>
    <w:rsid w:val="00274047"/>
    <w:rsid w:val="002946F4"/>
    <w:rsid w:val="00297D33"/>
    <w:rsid w:val="002B0B5F"/>
    <w:rsid w:val="002B5AE1"/>
    <w:rsid w:val="002E6705"/>
    <w:rsid w:val="002F1018"/>
    <w:rsid w:val="002F6DCA"/>
    <w:rsid w:val="00301867"/>
    <w:rsid w:val="00301E50"/>
    <w:rsid w:val="003261A5"/>
    <w:rsid w:val="00337B41"/>
    <w:rsid w:val="00352130"/>
    <w:rsid w:val="00383594"/>
    <w:rsid w:val="003844A0"/>
    <w:rsid w:val="003A1121"/>
    <w:rsid w:val="003D5023"/>
    <w:rsid w:val="003D5710"/>
    <w:rsid w:val="003F0E91"/>
    <w:rsid w:val="00403548"/>
    <w:rsid w:val="00415C34"/>
    <w:rsid w:val="004216BB"/>
    <w:rsid w:val="00437575"/>
    <w:rsid w:val="00447013"/>
    <w:rsid w:val="00450FBD"/>
    <w:rsid w:val="00487869"/>
    <w:rsid w:val="004D1F4D"/>
    <w:rsid w:val="004D4BCB"/>
    <w:rsid w:val="004E55E8"/>
    <w:rsid w:val="005338D5"/>
    <w:rsid w:val="005465E0"/>
    <w:rsid w:val="005466FD"/>
    <w:rsid w:val="005520C6"/>
    <w:rsid w:val="005B188A"/>
    <w:rsid w:val="00626DC1"/>
    <w:rsid w:val="0062785B"/>
    <w:rsid w:val="0065691F"/>
    <w:rsid w:val="00662227"/>
    <w:rsid w:val="00670C74"/>
    <w:rsid w:val="006C37DE"/>
    <w:rsid w:val="006D51C8"/>
    <w:rsid w:val="006E31F7"/>
    <w:rsid w:val="006E3B81"/>
    <w:rsid w:val="006E6BC4"/>
    <w:rsid w:val="00703952"/>
    <w:rsid w:val="0073688E"/>
    <w:rsid w:val="0075447D"/>
    <w:rsid w:val="00756FD3"/>
    <w:rsid w:val="00774CD4"/>
    <w:rsid w:val="007A693C"/>
    <w:rsid w:val="007C7D04"/>
    <w:rsid w:val="007E26E5"/>
    <w:rsid w:val="007F20EC"/>
    <w:rsid w:val="007F2674"/>
    <w:rsid w:val="00827402"/>
    <w:rsid w:val="008327D3"/>
    <w:rsid w:val="00856F86"/>
    <w:rsid w:val="008668A9"/>
    <w:rsid w:val="00867103"/>
    <w:rsid w:val="00870889"/>
    <w:rsid w:val="00875046"/>
    <w:rsid w:val="00896830"/>
    <w:rsid w:val="008D069E"/>
    <w:rsid w:val="00935208"/>
    <w:rsid w:val="00964266"/>
    <w:rsid w:val="009B4C1B"/>
    <w:rsid w:val="009C49AF"/>
    <w:rsid w:val="009E778B"/>
    <w:rsid w:val="00A11BAF"/>
    <w:rsid w:val="00A62435"/>
    <w:rsid w:val="00A73DBA"/>
    <w:rsid w:val="00A87EFA"/>
    <w:rsid w:val="00AA2A54"/>
    <w:rsid w:val="00AE6ED7"/>
    <w:rsid w:val="00AF0787"/>
    <w:rsid w:val="00B073FB"/>
    <w:rsid w:val="00B74953"/>
    <w:rsid w:val="00B84043"/>
    <w:rsid w:val="00BE0820"/>
    <w:rsid w:val="00BE5DEB"/>
    <w:rsid w:val="00C06F2D"/>
    <w:rsid w:val="00C1388A"/>
    <w:rsid w:val="00C33191"/>
    <w:rsid w:val="00C502FA"/>
    <w:rsid w:val="00C57F03"/>
    <w:rsid w:val="00CA24E6"/>
    <w:rsid w:val="00CB6713"/>
    <w:rsid w:val="00CD611C"/>
    <w:rsid w:val="00D42023"/>
    <w:rsid w:val="00D55B42"/>
    <w:rsid w:val="00D76E9C"/>
    <w:rsid w:val="00D86483"/>
    <w:rsid w:val="00D96FBB"/>
    <w:rsid w:val="00DA1A2C"/>
    <w:rsid w:val="00DF7A1D"/>
    <w:rsid w:val="00E02787"/>
    <w:rsid w:val="00E14D3A"/>
    <w:rsid w:val="00E45161"/>
    <w:rsid w:val="00E93559"/>
    <w:rsid w:val="00E963F4"/>
    <w:rsid w:val="00EA556C"/>
    <w:rsid w:val="00EC4BDD"/>
    <w:rsid w:val="00ED60C4"/>
    <w:rsid w:val="00EF7D1A"/>
    <w:rsid w:val="00F07FE7"/>
    <w:rsid w:val="00F2643E"/>
    <w:rsid w:val="00F6201E"/>
    <w:rsid w:val="00F90152"/>
    <w:rsid w:val="00F92ADF"/>
    <w:rsid w:val="00FA6CC1"/>
    <w:rsid w:val="1832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7DFF0"/>
  <w15:docId w15:val="{60CF917D-8BB8-4604-B466-10F69EEE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before="100" w:beforeAutospacing="1" w:after="100" w:afterAutospacing="1" w:line="360" w:lineRule="auto"/>
      <w:ind w:firstLineChars="200" w:firstLine="200"/>
      <w:jc w:val="both"/>
    </w:pPr>
    <w:rPr>
      <w:rFonts w:ascii="Times New Roman" w:eastAsia="宋体" w:hAnsi="Times New Roman"/>
      <w:color w:val="000000" w:themeColor="text1"/>
      <w:kern w:val="2"/>
      <w:sz w:val="24"/>
      <w:szCs w:val="24"/>
      <w14:ligatures w14:val="standardContextual"/>
    </w:rPr>
  </w:style>
  <w:style w:type="paragraph" w:styleId="1">
    <w:name w:val="heading 1"/>
    <w:basedOn w:val="a"/>
    <w:next w:val="a"/>
    <w:link w:val="10"/>
    <w:uiPriority w:val="9"/>
    <w:qFormat/>
    <w:pPr>
      <w:keepNext/>
      <w:keepLines/>
      <w:numPr>
        <w:numId w:val="1"/>
      </w:numPr>
      <w:ind w:left="0" w:firstLineChars="0" w:firstLine="0"/>
      <w:outlineLvl w:val="0"/>
    </w:pPr>
    <w:rPr>
      <w:rFonts w:eastAsia="黑体" w:cstheme="majorBidi"/>
      <w:b/>
      <w:sz w:val="32"/>
      <w:szCs w:val="48"/>
    </w:rPr>
  </w:style>
  <w:style w:type="paragraph" w:styleId="2">
    <w:name w:val="heading 2"/>
    <w:basedOn w:val="a"/>
    <w:next w:val="a"/>
    <w:link w:val="20"/>
    <w:uiPriority w:val="9"/>
    <w:unhideWhenUsed/>
    <w:qFormat/>
    <w:pPr>
      <w:keepNext/>
      <w:keepLines/>
      <w:numPr>
        <w:ilvl w:val="1"/>
        <w:numId w:val="1"/>
      </w:numPr>
      <w:ind w:left="0" w:firstLineChars="0" w:firstLine="0"/>
      <w:outlineLvl w:val="1"/>
    </w:pPr>
    <w:rPr>
      <w:rFonts w:eastAsia="黑体" w:cstheme="majorBidi"/>
      <w:b/>
      <w:sz w:val="28"/>
      <w:szCs w:val="40"/>
    </w:rPr>
  </w:style>
  <w:style w:type="paragraph" w:styleId="3">
    <w:name w:val="heading 3"/>
    <w:basedOn w:val="a"/>
    <w:next w:val="a"/>
    <w:link w:val="30"/>
    <w:uiPriority w:val="9"/>
    <w:unhideWhenUsed/>
    <w:qFormat/>
    <w:pPr>
      <w:keepNext/>
      <w:keepLines/>
      <w:numPr>
        <w:ilvl w:val="2"/>
        <w:numId w:val="1"/>
      </w:numPr>
      <w:ind w:left="0" w:firstLineChars="0" w:firstLine="0"/>
      <w:outlineLvl w:val="2"/>
    </w:pPr>
    <w:rPr>
      <w:rFonts w:eastAsia="黑体" w:cstheme="majorBidi"/>
      <w:b/>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pacing w:line="240" w:lineRule="auto"/>
    </w:pPr>
    <w:rPr>
      <w:sz w:val="18"/>
      <w:szCs w:val="18"/>
    </w:rPr>
  </w:style>
  <w:style w:type="paragraph" w:styleId="a5">
    <w:name w:val="header"/>
    <w:basedOn w:val="a"/>
    <w:link w:val="a6"/>
    <w:uiPriority w:val="99"/>
    <w:unhideWhenUsed/>
    <w:pPr>
      <w:tabs>
        <w:tab w:val="center" w:pos="4153"/>
        <w:tab w:val="right" w:pos="8306"/>
      </w:tabs>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ind w:firstLineChars="0" w:firstLine="0"/>
      <w:contextualSpacing/>
    </w:pPr>
    <w:rPr>
      <w:rFonts w:eastAsia="黑体" w:cstheme="majorBidi"/>
      <w:b/>
      <w:spacing w:val="-10"/>
      <w:kern w:val="28"/>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rPr>
      <w:color w:val="0563C1" w:themeColor="hyperlink"/>
      <w:u w:val="single"/>
    </w:rPr>
  </w:style>
  <w:style w:type="character" w:customStyle="1" w:styleId="10">
    <w:name w:val="标题 1 字符"/>
    <w:basedOn w:val="a0"/>
    <w:link w:val="1"/>
    <w:uiPriority w:val="9"/>
    <w:qFormat/>
    <w:rPr>
      <w:rFonts w:ascii="Times New Roman" w:eastAsia="黑体" w:hAnsi="Times New Roman" w:cstheme="majorBidi"/>
      <w:b/>
      <w:color w:val="000000" w:themeColor="text1"/>
      <w:sz w:val="32"/>
      <w:szCs w:val="48"/>
    </w:rPr>
  </w:style>
  <w:style w:type="paragraph" w:customStyle="1" w:styleId="ae">
    <w:name w:val="图表"/>
    <w:basedOn w:val="a"/>
    <w:link w:val="af"/>
    <w:qFormat/>
    <w:pPr>
      <w:adjustRightInd/>
      <w:snapToGrid/>
      <w:spacing w:before="0" w:beforeAutospacing="0" w:after="0" w:afterAutospacing="0"/>
      <w:jc w:val="center"/>
    </w:pPr>
    <w:rPr>
      <w:rFonts w:cs="Times New Roman"/>
      <w:b/>
      <w:color w:val="auto"/>
      <w:sz w:val="21"/>
      <w:szCs w:val="21"/>
      <w14:ligatures w14:val="none"/>
    </w:rPr>
  </w:style>
  <w:style w:type="character" w:customStyle="1" w:styleId="30">
    <w:name w:val="标题 3 字符"/>
    <w:basedOn w:val="a0"/>
    <w:link w:val="3"/>
    <w:uiPriority w:val="9"/>
    <w:rPr>
      <w:rFonts w:ascii="Times New Roman" w:eastAsia="黑体" w:hAnsi="Times New Roman" w:cstheme="majorBidi"/>
      <w:b/>
      <w:color w:val="000000" w:themeColor="text1"/>
      <w:sz w:val="24"/>
      <w:szCs w:val="32"/>
    </w:rPr>
  </w:style>
  <w:style w:type="character" w:customStyle="1" w:styleId="20">
    <w:name w:val="标题 2 字符"/>
    <w:basedOn w:val="a0"/>
    <w:link w:val="2"/>
    <w:uiPriority w:val="9"/>
    <w:qFormat/>
    <w:rPr>
      <w:rFonts w:ascii="Times New Roman" w:eastAsia="黑体" w:hAnsi="Times New Roman" w:cstheme="majorBidi"/>
      <w:b/>
      <w:color w:val="000000" w:themeColor="text1"/>
      <w:sz w:val="28"/>
      <w:szCs w:val="40"/>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imes New Roman" w:eastAsia="黑体" w:hAnsi="Times New Roman" w:cstheme="majorBidi"/>
      <w:b/>
      <w:color w:val="000000" w:themeColor="text1"/>
      <w:spacing w:val="-10"/>
      <w:kern w:val="28"/>
      <w:sz w:val="24"/>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f5">
    <w:name w:val="图格式"/>
    <w:basedOn w:val="a"/>
    <w:link w:val="af6"/>
    <w:qFormat/>
    <w:pPr>
      <w:ind w:firstLineChars="0" w:firstLine="0"/>
      <w:jc w:val="center"/>
    </w:pPr>
    <w:rPr>
      <w:sz w:val="21"/>
    </w:rPr>
  </w:style>
  <w:style w:type="character" w:customStyle="1" w:styleId="af6">
    <w:name w:val="图格式 字符"/>
    <w:basedOn w:val="a0"/>
    <w:link w:val="af5"/>
    <w:qFormat/>
    <w:rPr>
      <w:rFonts w:ascii="Times New Roman" w:eastAsia="宋体" w:hAnsi="Times New Roman"/>
      <w:color w:val="000000" w:themeColor="text1"/>
      <w:sz w:val="21"/>
    </w:rPr>
  </w:style>
  <w:style w:type="paragraph" w:customStyle="1" w:styleId="af7">
    <w:name w:val="表格式"/>
    <w:basedOn w:val="a"/>
    <w:link w:val="af8"/>
    <w:qFormat/>
  </w:style>
  <w:style w:type="character" w:customStyle="1" w:styleId="af8">
    <w:name w:val="表格式 字符"/>
    <w:basedOn w:val="af6"/>
    <w:link w:val="af7"/>
    <w:qFormat/>
    <w:rPr>
      <w:rFonts w:ascii="Times New Roman" w:eastAsia="宋体" w:hAnsi="Times New Roman"/>
      <w:color w:val="000000" w:themeColor="text1"/>
      <w:sz w:val="24"/>
    </w:rPr>
  </w:style>
  <w:style w:type="paragraph" w:styleId="af9">
    <w:name w:val="No Spacing"/>
    <w:uiPriority w:val="1"/>
    <w:qFormat/>
    <w:pPr>
      <w:widowControl w:val="0"/>
      <w:adjustRightInd w:val="0"/>
      <w:snapToGrid w:val="0"/>
      <w:spacing w:beforeAutospacing="1" w:afterAutospacing="1"/>
      <w:ind w:firstLineChars="200" w:firstLine="200"/>
      <w:jc w:val="both"/>
    </w:pPr>
    <w:rPr>
      <w:rFonts w:ascii="Times New Roman" w:eastAsia="宋体" w:hAnsi="Times New Roman"/>
      <w:color w:val="000000" w:themeColor="text1"/>
      <w:kern w:val="2"/>
      <w:sz w:val="24"/>
      <w:szCs w:val="24"/>
      <w14:ligatures w14:val="standardContextual"/>
    </w:rPr>
  </w:style>
  <w:style w:type="character" w:customStyle="1" w:styleId="13">
    <w:name w:val="未处理的提及1"/>
    <w:basedOn w:val="a0"/>
    <w:uiPriority w:val="99"/>
    <w:semiHidden/>
    <w:unhideWhenUsed/>
    <w:rPr>
      <w:color w:val="605E5C"/>
      <w:shd w:val="clear" w:color="auto" w:fill="E1DFDD"/>
    </w:rPr>
  </w:style>
  <w:style w:type="character" w:customStyle="1" w:styleId="anchor-text">
    <w:name w:val="anchor-text"/>
    <w:basedOn w:val="a0"/>
    <w:qFormat/>
  </w:style>
  <w:style w:type="paragraph" w:customStyle="1" w:styleId="EndNoteBibliographyTitle">
    <w:name w:val="EndNote Bibliography Title"/>
    <w:basedOn w:val="a"/>
    <w:link w:val="EndNoteBibliographyTitle0"/>
    <w:qFormat/>
    <w:pPr>
      <w:spacing w:after="0"/>
      <w:jc w:val="center"/>
    </w:pPr>
    <w:rPr>
      <w:rFonts w:cs="Times New Roman"/>
      <w:sz w:val="32"/>
    </w:rPr>
  </w:style>
  <w:style w:type="character" w:customStyle="1" w:styleId="EndNoteBibliographyTitle0">
    <w:name w:val="EndNote Bibliography Title 字符"/>
    <w:basedOn w:val="a0"/>
    <w:link w:val="EndNoteBibliographyTitle"/>
    <w:qFormat/>
    <w:rPr>
      <w:rFonts w:ascii="Times New Roman" w:eastAsia="宋体" w:hAnsi="Times New Roman" w:cs="Times New Roman"/>
      <w:color w:val="000000" w:themeColor="text1"/>
      <w:sz w:val="32"/>
    </w:rPr>
  </w:style>
  <w:style w:type="paragraph" w:customStyle="1" w:styleId="EndNoteBibliography">
    <w:name w:val="EndNote Bibliography"/>
    <w:basedOn w:val="a"/>
    <w:link w:val="EndNoteBibliography0"/>
    <w:pPr>
      <w:spacing w:line="240" w:lineRule="auto"/>
    </w:pPr>
    <w:rPr>
      <w:rFonts w:cs="Times New Roman"/>
      <w:sz w:val="32"/>
    </w:rPr>
  </w:style>
  <w:style w:type="character" w:customStyle="1" w:styleId="EndNoteBibliography0">
    <w:name w:val="EndNote Bibliography 字符"/>
    <w:basedOn w:val="a0"/>
    <w:link w:val="EndNoteBibliography"/>
    <w:qFormat/>
    <w:rPr>
      <w:rFonts w:ascii="Times New Roman" w:eastAsia="宋体" w:hAnsi="Times New Roman" w:cs="Times New Roman"/>
      <w:color w:val="000000" w:themeColor="text1"/>
      <w:sz w:val="32"/>
    </w:rPr>
  </w:style>
  <w:style w:type="paragraph" w:customStyle="1" w:styleId="14">
    <w:name w:val="书目1"/>
    <w:basedOn w:val="a"/>
    <w:next w:val="a"/>
    <w:uiPriority w:val="37"/>
    <w:unhideWhenUsed/>
  </w:style>
  <w:style w:type="paragraph" w:customStyle="1" w:styleId="afa">
    <w:name w:val="表图标题"/>
    <w:basedOn w:val="a7"/>
    <w:link w:val="afb"/>
    <w:autoRedefine/>
    <w:qFormat/>
    <w:rsid w:val="00297D33"/>
    <w:pPr>
      <w:ind w:firstLineChars="0" w:firstLine="0"/>
      <w:jc w:val="both"/>
    </w:pPr>
    <w:rPr>
      <w:rFonts w:ascii="Times New Roman" w:eastAsia="宋体" w:hAnsi="Times New Roman"/>
      <w:b/>
      <w:color w:val="000000" w:themeColor="text1"/>
      <w:sz w:val="24"/>
      <w:szCs w:val="24"/>
      <w14:ligatures w14:val="none"/>
    </w:rPr>
  </w:style>
  <w:style w:type="character" w:customStyle="1" w:styleId="afb">
    <w:name w:val="表图标题 字符"/>
    <w:basedOn w:val="a8"/>
    <w:link w:val="afa"/>
    <w:qFormat/>
    <w:rsid w:val="00297D33"/>
    <w:rPr>
      <w:rFonts w:ascii="Times New Roman" w:eastAsia="宋体" w:hAnsi="Times New Roman" w:cstheme="majorBidi"/>
      <w:b/>
      <w:color w:val="000000" w:themeColor="text1"/>
      <w:spacing w:val="15"/>
      <w:kern w:val="2"/>
      <w:sz w:val="24"/>
      <w:szCs w:val="24"/>
    </w:rPr>
  </w:style>
  <w:style w:type="table" w:customStyle="1" w:styleId="15">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图表 字符"/>
    <w:basedOn w:val="a0"/>
    <w:link w:val="ae"/>
    <w:qFormat/>
    <w:rPr>
      <w:rFonts w:ascii="Times New Roman" w:eastAsia="宋体" w:hAnsi="Times New Roman" w:cs="Times New Roman"/>
      <w:b/>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5034">
      <w:bodyDiv w:val="1"/>
      <w:marLeft w:val="0"/>
      <w:marRight w:val="0"/>
      <w:marTop w:val="0"/>
      <w:marBottom w:val="0"/>
      <w:divBdr>
        <w:top w:val="none" w:sz="0" w:space="0" w:color="auto"/>
        <w:left w:val="none" w:sz="0" w:space="0" w:color="auto"/>
        <w:bottom w:val="none" w:sz="0" w:space="0" w:color="auto"/>
        <w:right w:val="none" w:sz="0" w:space="0" w:color="auto"/>
      </w:divBdr>
    </w:div>
    <w:div w:id="308560079">
      <w:bodyDiv w:val="1"/>
      <w:marLeft w:val="0"/>
      <w:marRight w:val="0"/>
      <w:marTop w:val="0"/>
      <w:marBottom w:val="0"/>
      <w:divBdr>
        <w:top w:val="none" w:sz="0" w:space="0" w:color="auto"/>
        <w:left w:val="none" w:sz="0" w:space="0" w:color="auto"/>
        <w:bottom w:val="none" w:sz="0" w:space="0" w:color="auto"/>
        <w:right w:val="none" w:sz="0" w:space="0" w:color="auto"/>
      </w:divBdr>
    </w:div>
    <w:div w:id="759957170">
      <w:bodyDiv w:val="1"/>
      <w:marLeft w:val="0"/>
      <w:marRight w:val="0"/>
      <w:marTop w:val="0"/>
      <w:marBottom w:val="0"/>
      <w:divBdr>
        <w:top w:val="none" w:sz="0" w:space="0" w:color="auto"/>
        <w:left w:val="none" w:sz="0" w:space="0" w:color="auto"/>
        <w:bottom w:val="none" w:sz="0" w:space="0" w:color="auto"/>
        <w:right w:val="none" w:sz="0" w:space="0" w:color="auto"/>
      </w:divBdr>
    </w:div>
    <w:div w:id="1025836591">
      <w:bodyDiv w:val="1"/>
      <w:marLeft w:val="0"/>
      <w:marRight w:val="0"/>
      <w:marTop w:val="0"/>
      <w:marBottom w:val="0"/>
      <w:divBdr>
        <w:top w:val="none" w:sz="0" w:space="0" w:color="auto"/>
        <w:left w:val="none" w:sz="0" w:space="0" w:color="auto"/>
        <w:bottom w:val="none" w:sz="0" w:space="0" w:color="auto"/>
        <w:right w:val="none" w:sz="0" w:space="0" w:color="auto"/>
      </w:divBdr>
    </w:div>
    <w:div w:id="1108039827">
      <w:bodyDiv w:val="1"/>
      <w:marLeft w:val="0"/>
      <w:marRight w:val="0"/>
      <w:marTop w:val="0"/>
      <w:marBottom w:val="0"/>
      <w:divBdr>
        <w:top w:val="none" w:sz="0" w:space="0" w:color="auto"/>
        <w:left w:val="none" w:sz="0" w:space="0" w:color="auto"/>
        <w:bottom w:val="none" w:sz="0" w:space="0" w:color="auto"/>
        <w:right w:val="none" w:sz="0" w:space="0" w:color="auto"/>
      </w:divBdr>
    </w:div>
    <w:div w:id="1371226500">
      <w:bodyDiv w:val="1"/>
      <w:marLeft w:val="0"/>
      <w:marRight w:val="0"/>
      <w:marTop w:val="0"/>
      <w:marBottom w:val="0"/>
      <w:divBdr>
        <w:top w:val="none" w:sz="0" w:space="0" w:color="auto"/>
        <w:left w:val="none" w:sz="0" w:space="0" w:color="auto"/>
        <w:bottom w:val="none" w:sz="0" w:space="0" w:color="auto"/>
        <w:right w:val="none" w:sz="0" w:space="0" w:color="auto"/>
      </w:divBdr>
    </w:div>
    <w:div w:id="181471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5Ol</b:Tag>
    <b:SourceType>Book</b:SourceType>
    <b:Guid>{B06DBF41-D5B2-4D78-9FE4-A051B5BB61BE}</b:Guid>
    <b:Author>
      <b:Author>
        <b:NameList>
          <b:Person>
            <b:Last>Olabisi</b:Last>
            <b:First>O.,</b:First>
            <b:Middle>&amp; Adewale, K. (Eds.)</b:Middle>
          </b:Person>
        </b:NameList>
      </b:Author>
    </b:Author>
    <b:RefOrder>1</b:RefOrder>
  </b:Source>
</b:Sources>
</file>

<file path=customXml/itemProps1.xml><?xml version="1.0" encoding="utf-8"?>
<ds:datastoreItem xmlns:ds="http://schemas.openxmlformats.org/officeDocument/2006/customXml" ds:itemID="{BB06EE42-D0A6-49FD-8008-1EA35EB4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莹莹 刘</dc:creator>
  <cp:lastModifiedBy>莹莹 刘</cp:lastModifiedBy>
  <cp:revision>23</cp:revision>
  <dcterms:created xsi:type="dcterms:W3CDTF">2025-06-06T17:05:00Z</dcterms:created>
  <dcterms:modified xsi:type="dcterms:W3CDTF">2025-06-07T02:09:00Z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70BFC0F1122D435CBBA7CBCAFC1904B4_12</vt:lpwstr>
  </property>
  <property fmtid="{D5CDD505-2E9C-101B-9397-08002B2CF9AE}" pid="4" name="GrammarlyDocumentId">
    <vt:lpwstr>19dfeeba-700a-4945-bbd3-e7071fd83d22</vt:lpwstr>
  </property>
</Properties>
</file>