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BDE" w:rsidRDefault="00997BDE" w:rsidP="00997BDE">
      <w:pPr>
        <w:rPr>
          <w:b/>
          <w:bCs/>
        </w:rPr>
      </w:pPr>
      <w:r w:rsidRPr="00592A1A">
        <w:rPr>
          <w:b/>
          <w:bCs/>
        </w:rPr>
        <w:t>Supplementary Figure 1: Foods Associated with FPIES-like Reaction in Adult Patients</w:t>
      </w:r>
    </w:p>
    <w:p w:rsidR="00997BDE" w:rsidRPr="00BF4D2D" w:rsidRDefault="00997BDE" w:rsidP="00997BDE">
      <w:pPr>
        <w:rPr>
          <w:b/>
          <w:bCs/>
        </w:rPr>
      </w:pPr>
    </w:p>
    <w:p w:rsidR="00997BDE" w:rsidRDefault="00997BDE" w:rsidP="00997BDE">
      <w:pPr>
        <w:spacing w:line="480" w:lineRule="auto"/>
      </w:pPr>
      <w:r>
        <w:rPr>
          <w:noProof/>
          <w:lang w:val="en-US"/>
        </w:rPr>
        <w:drawing>
          <wp:inline distT="0" distB="0" distL="0" distR="0" wp14:anchorId="37CD7BDB" wp14:editId="61154D2C">
            <wp:extent cx="5042263" cy="2732314"/>
            <wp:effectExtent l="0" t="0" r="0" b="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17FF7BE4-6202-9B4A-86D4-FA4D03ACE92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997BDE" w:rsidRDefault="00997BDE" w:rsidP="00997BDE">
      <w:r>
        <w:t xml:space="preserve">Foods associated with FPIES-like reaction in cohort of adult patients. N = 19; some patients reacted to more than one food.  </w:t>
      </w:r>
    </w:p>
    <w:p w:rsidR="00997BDE" w:rsidRDefault="00997BDE" w:rsidP="00997BDE">
      <w:pPr>
        <w:spacing w:line="480" w:lineRule="auto"/>
        <w:sectPr w:rsidR="00997BDE" w:rsidSect="001508C8">
          <w:footerReference w:type="default" r:id="rId5"/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tbl>
      <w:tblPr>
        <w:tblpPr w:leftFromText="181" w:rightFromText="181" w:vertAnchor="text" w:horzAnchor="page" w:tblpX="782" w:tblpY="632"/>
        <w:tblW w:w="14601" w:type="dxa"/>
        <w:tblLook w:val="04A0" w:firstRow="1" w:lastRow="0" w:firstColumn="1" w:lastColumn="0" w:noHBand="0" w:noVBand="1"/>
      </w:tblPr>
      <w:tblGrid>
        <w:gridCol w:w="415"/>
        <w:gridCol w:w="538"/>
        <w:gridCol w:w="1316"/>
        <w:gridCol w:w="736"/>
        <w:gridCol w:w="1007"/>
        <w:gridCol w:w="1616"/>
        <w:gridCol w:w="1100"/>
        <w:gridCol w:w="905"/>
        <w:gridCol w:w="851"/>
        <w:gridCol w:w="968"/>
        <w:gridCol w:w="533"/>
        <w:gridCol w:w="1124"/>
        <w:gridCol w:w="858"/>
        <w:gridCol w:w="787"/>
        <w:gridCol w:w="753"/>
        <w:gridCol w:w="1094"/>
      </w:tblGrid>
      <w:tr w:rsidR="00997BDE" w:rsidRPr="00A81A04" w:rsidTr="008134B3">
        <w:trPr>
          <w:trHeight w:val="315"/>
        </w:trPr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Sex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Food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F8395E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Age</w:t>
            </w: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 at Onset (years)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vAlign w:val="bottom"/>
          </w:tcPr>
          <w:p w:rsidR="00997BDE" w:rsidRPr="00EB276F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EB276F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Time after eating (hours)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vAlign w:val="bottom"/>
          </w:tcPr>
          <w:p w:rsidR="00997BDE" w:rsidRPr="00EB276F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EB276F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Length of reaction (hours)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vAlign w:val="bottom"/>
          </w:tcPr>
          <w:p w:rsidR="00997BDE" w:rsidRPr="001B625E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1B625E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Assessment Delay (years)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Emesis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Abdo</w:t>
            </w:r>
            <w:proofErr w:type="spellEnd"/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 Pain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Diarrhea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ER Visit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OC Crust.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SPT Crust.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SPT DM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SPT Aero</w:t>
            </w:r>
          </w:p>
        </w:tc>
        <w:tc>
          <w:tcPr>
            <w:tcW w:w="109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sIgE</w:t>
            </w:r>
            <w:proofErr w:type="spellEnd"/>
            <w:r w:rsidRPr="00A81A04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 Crust.</w:t>
            </w:r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 to 3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7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shrimp, lobster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20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 to 3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3 to 7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14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shrimp, crab, clam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29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5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 to 3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2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4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50-55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 to 3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13.5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 xml:space="preserve">Shrimp: </w:t>
            </w: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pos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5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M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25-26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6 to 8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6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lobster, crab, scallop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3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3 to 4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7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7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68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 to 11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8 to 12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3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8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M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3 to 6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&gt;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56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9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M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 lobster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14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12 to 14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44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border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10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M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shrimp, lobster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33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6809C9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809C9">
              <w:rPr>
                <w:rFonts w:ascii="Arial" w:hAnsi="Arial" w:cs="Arial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10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11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shrimp, mussels, scallop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32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0.5 to 1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4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12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M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shrimp, tuna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18-20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0.5 to 3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0.5 to 1.5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10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13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shrimp, crab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55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 to 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11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bookmarkStart w:id="0" w:name="_GoBack"/>
            <w:bookmarkEnd w:id="0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14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clam, shrimp, tuna, fish, scallop, mussel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50-55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 to 2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13.5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 xml:space="preserve">Clam: </w:t>
            </w: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neg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15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22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6 to 7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 to 3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4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16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mussels, crab, shrimp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21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6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4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17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M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55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 to 1.5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6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8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18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scallops, shrimp, clam, lobster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67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5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7 to 12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10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n.d.</w:t>
            </w:r>
            <w:proofErr w:type="spellEnd"/>
          </w:p>
        </w:tc>
      </w:tr>
      <w:tr w:rsidR="00997BDE" w:rsidRPr="00A81A04" w:rsidTr="008134B3">
        <w:trPr>
          <w:trHeight w:val="315"/>
        </w:trPr>
        <w:tc>
          <w:tcPr>
            <w:tcW w:w="41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19</w:t>
            </w:r>
          </w:p>
        </w:tc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shrimp, crab, lobster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007" w:type="dxa"/>
            <w:tcBorders>
              <w:top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1 to 2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3 to 5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vAlign w:val="bottom"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30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96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12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 xml:space="preserve">Shrimp: </w:t>
            </w: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neg</w:t>
            </w:r>
            <w:proofErr w:type="spellEnd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 xml:space="preserve">, Scallop: </w:t>
            </w:r>
            <w:proofErr w:type="spellStart"/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neg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753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+</w:t>
            </w:r>
          </w:p>
        </w:tc>
        <w:tc>
          <w:tcPr>
            <w:tcW w:w="1094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97BDE" w:rsidRPr="00A81A04" w:rsidRDefault="00997BDE" w:rsidP="008134B3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81A04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</w:tr>
    </w:tbl>
    <w:p w:rsidR="00997BDE" w:rsidRDefault="00997BDE" w:rsidP="00997BDE">
      <w:pPr>
        <w:spacing w:line="480" w:lineRule="auto"/>
      </w:pPr>
      <w:r>
        <w:rPr>
          <w:rFonts w:ascii="Arial" w:hAnsi="Arial" w:cs="Arial"/>
          <w:noProof/>
          <w:sz w:val="15"/>
          <w:szCs w:val="15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3E7398" wp14:editId="3BE54332">
                <wp:simplePos x="0" y="0"/>
                <wp:positionH relativeFrom="column">
                  <wp:posOffset>-43543</wp:posOffset>
                </wp:positionH>
                <wp:positionV relativeFrom="paragraph">
                  <wp:posOffset>0</wp:posOffset>
                </wp:positionV>
                <wp:extent cx="6627223" cy="291600"/>
                <wp:effectExtent l="0" t="0" r="2540" b="6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7223" cy="29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97BDE" w:rsidRPr="00B640AC" w:rsidRDefault="00997BDE" w:rsidP="00997BDE">
                            <w:pPr>
                              <w:rPr>
                                <w:b/>
                                <w:bCs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92A1A">
                              <w:rPr>
                                <w:b/>
                                <w:bCs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Supplementary Table 1: Description of Patients with FPIES-like Reactions to Crustaceans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3E739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.45pt;margin-top:0;width:521.85pt;height:2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" fillcolor="white [3201]" stroked="f" strokeweight=".5pt">
                <v:textbox>
                  <w:txbxContent>
                    <w:p w:rsidR="00997BDE" w:rsidRPr="00B640AC" w:rsidRDefault="00997BDE" w:rsidP="00997BDE">
                      <w:pPr>
                        <w:rPr>
                          <w:b/>
                          <w:bCs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92A1A">
                        <w:rPr>
                          <w:b/>
                          <w:bCs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Supplementary Table 1: Description of Patients with FPIES-like Reactions to Crustaceans</w:t>
                      </w:r>
                    </w:p>
                  </w:txbxContent>
                </v:textbox>
              </v:shape>
            </w:pict>
          </mc:Fallback>
        </mc:AlternateContent>
      </w:r>
      <w:r>
        <w:t>‘’</w:t>
      </w:r>
    </w:p>
    <w:p w:rsidR="00997BDE" w:rsidRDefault="00997BDE" w:rsidP="00997BDE">
      <w:pPr>
        <w:rPr>
          <w:i/>
          <w:iCs/>
        </w:rPr>
      </w:pPr>
      <w:r>
        <w:br/>
      </w:r>
      <w:r w:rsidRPr="00B640AC">
        <w:t>Patients included in study numbered 1 to 19 with demographic data, clinical, and diagnostic data</w:t>
      </w:r>
      <w:r w:rsidRPr="00B640AC">
        <w:br/>
      </w:r>
      <w:r w:rsidRPr="00B640AC">
        <w:rPr>
          <w:i/>
          <w:iCs/>
        </w:rPr>
        <w:t>Abbreviations: OC = Oral challenge, Crust = crustacean which</w:t>
      </w:r>
      <w:r>
        <w:rPr>
          <w:i/>
          <w:iCs/>
        </w:rPr>
        <w:t xml:space="preserve"> was implicated in</w:t>
      </w:r>
      <w:r w:rsidRPr="00B640AC">
        <w:rPr>
          <w:i/>
          <w:iCs/>
        </w:rPr>
        <w:t xml:space="preserve"> reaction; SPT = skin-prick test, DM = dust mite, Aero = aeroallergen, </w:t>
      </w:r>
      <w:proofErr w:type="spellStart"/>
      <w:r w:rsidRPr="00B640AC">
        <w:rPr>
          <w:i/>
          <w:iCs/>
        </w:rPr>
        <w:t>sIgE</w:t>
      </w:r>
      <w:proofErr w:type="spellEnd"/>
      <w:r w:rsidRPr="00B640AC">
        <w:rPr>
          <w:i/>
          <w:iCs/>
        </w:rPr>
        <w:t xml:space="preserve"> Crust = serum</w:t>
      </w:r>
      <w:r>
        <w:rPr>
          <w:i/>
          <w:iCs/>
        </w:rPr>
        <w:t xml:space="preserve"> specific</w:t>
      </w:r>
      <w:r w:rsidRPr="00B640AC">
        <w:rPr>
          <w:i/>
          <w:iCs/>
        </w:rPr>
        <w:t xml:space="preserve"> </w:t>
      </w:r>
      <w:proofErr w:type="spellStart"/>
      <w:r w:rsidRPr="00B640AC">
        <w:rPr>
          <w:i/>
          <w:iCs/>
        </w:rPr>
        <w:t>IgE</w:t>
      </w:r>
      <w:proofErr w:type="spellEnd"/>
      <w:r w:rsidRPr="00B640AC">
        <w:rPr>
          <w:i/>
          <w:iCs/>
        </w:rPr>
        <w:t xml:space="preserve"> measurement, </w:t>
      </w:r>
      <w:proofErr w:type="spellStart"/>
      <w:r w:rsidRPr="00B640AC">
        <w:rPr>
          <w:i/>
          <w:iCs/>
        </w:rPr>
        <w:t>n.d.</w:t>
      </w:r>
      <w:proofErr w:type="spellEnd"/>
      <w:r w:rsidRPr="00B640AC">
        <w:rPr>
          <w:i/>
          <w:iCs/>
        </w:rPr>
        <w:t xml:space="preserve"> = test not done</w:t>
      </w:r>
    </w:p>
    <w:p w:rsidR="00997BDE" w:rsidRDefault="00997BDE" w:rsidP="00997BDE">
      <w:pPr>
        <w:spacing w:line="480" w:lineRule="auto"/>
      </w:pPr>
    </w:p>
    <w:p w:rsidR="00FF0F33" w:rsidRDefault="00997BDE"/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5F15" w:rsidRPr="007D1C28" w:rsidRDefault="00997BDE" w:rsidP="007D1C28">
    <w:pPr>
      <w:pStyle w:val="Footer"/>
      <w:jc w:val="right"/>
      <w:rPr>
        <w:lang w:val="en-US"/>
      </w:rPr>
    </w:pPr>
    <w:r w:rsidRPr="007D1C28">
      <w:rPr>
        <w:lang w:val="en-US"/>
      </w:rPr>
      <w:t xml:space="preserve">Page </w:t>
    </w:r>
    <w:r w:rsidRPr="007D1C28">
      <w:rPr>
        <w:lang w:val="en-US"/>
      </w:rPr>
      <w:fldChar w:fldCharType="begin"/>
    </w:r>
    <w:r w:rsidRPr="007D1C28">
      <w:rPr>
        <w:lang w:val="en-US"/>
      </w:rPr>
      <w:instrText xml:space="preserve"> PAGE </w:instrText>
    </w:r>
    <w:r w:rsidRPr="007D1C28">
      <w:rPr>
        <w:lang w:val="en-US"/>
      </w:rPr>
      <w:fldChar w:fldCharType="separate"/>
    </w:r>
    <w:r>
      <w:rPr>
        <w:noProof/>
        <w:lang w:val="en-US"/>
      </w:rPr>
      <w:t>1</w:t>
    </w:r>
    <w:r w:rsidRPr="007D1C28">
      <w:rPr>
        <w:lang w:val="en-US"/>
      </w:rPr>
      <w:fldChar w:fldCharType="end"/>
    </w:r>
    <w:r w:rsidRPr="007D1C28">
      <w:rPr>
        <w:lang w:val="en-US"/>
      </w:rPr>
      <w:t xml:space="preserve"> of </w:t>
    </w:r>
    <w:r w:rsidRPr="007D1C28">
      <w:rPr>
        <w:lang w:val="en-US"/>
      </w:rPr>
      <w:fldChar w:fldCharType="begin"/>
    </w:r>
    <w:r w:rsidRPr="007D1C28">
      <w:rPr>
        <w:lang w:val="en-US"/>
      </w:rPr>
      <w:instrText xml:space="preserve"> NUMPAGES </w:instrText>
    </w:r>
    <w:r w:rsidRPr="007D1C28">
      <w:rPr>
        <w:lang w:val="en-US"/>
      </w:rPr>
      <w:fldChar w:fldCharType="separate"/>
    </w:r>
    <w:r>
      <w:rPr>
        <w:noProof/>
        <w:lang w:val="en-US"/>
      </w:rPr>
      <w:t>2</w:t>
    </w:r>
    <w:r w:rsidRPr="007D1C28">
      <w:rPr>
        <w:lang w:val="en-US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BDE"/>
    <w:rsid w:val="00733948"/>
    <w:rsid w:val="00997B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2DB12E-31E7-4B6C-9798-18D55E685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7B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97B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7BDE"/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997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andreamacikunas\Documents\Recherche\ShrimpCaseSeries\FPIESDataAnalysi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75E8-4F35-8B19-C44750157E11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75E8-4F35-8B19-C44750157E11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75E8-4F35-8B19-C44750157E11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75E8-4F35-8B19-C44750157E11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75E8-4F35-8B19-C44750157E11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75E8-4F35-8B19-C44750157E11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75E8-4F35-8B19-C44750157E11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75E8-4F35-8B19-C44750157E11}"/>
              </c:ext>
            </c:extLst>
          </c:dPt>
          <c:cat>
            <c:strRef>
              <c:f>Figure1!$E$1:$L$1</c:f>
              <c:strCache>
                <c:ptCount val="8"/>
                <c:pt idx="0">
                  <c:v>Shrimp</c:v>
                </c:pt>
                <c:pt idx="1">
                  <c:v>Lobster</c:v>
                </c:pt>
                <c:pt idx="2">
                  <c:v>Crab</c:v>
                </c:pt>
                <c:pt idx="3">
                  <c:v>Scallop</c:v>
                </c:pt>
                <c:pt idx="4">
                  <c:v>Mussel</c:v>
                </c:pt>
                <c:pt idx="5">
                  <c:v>Clam</c:v>
                </c:pt>
                <c:pt idx="6">
                  <c:v>Tuna</c:v>
                </c:pt>
                <c:pt idx="7">
                  <c:v>Fish</c:v>
                </c:pt>
              </c:strCache>
            </c:strRef>
          </c:cat>
          <c:val>
            <c:numRef>
              <c:f>Figure1!$E$2:$L$2</c:f>
              <c:numCache>
                <c:formatCode>General</c:formatCode>
                <c:ptCount val="8"/>
                <c:pt idx="0">
                  <c:v>18</c:v>
                </c:pt>
                <c:pt idx="1">
                  <c:v>6</c:v>
                </c:pt>
                <c:pt idx="2">
                  <c:v>5</c:v>
                </c:pt>
                <c:pt idx="3">
                  <c:v>4</c:v>
                </c:pt>
                <c:pt idx="4">
                  <c:v>3</c:v>
                </c:pt>
                <c:pt idx="5">
                  <c:v>3</c:v>
                </c:pt>
                <c:pt idx="6">
                  <c:v>2</c:v>
                </c:pt>
                <c:pt idx="7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75E8-4F35-8B19-C44750157E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7"/>
        <c:overlap val="-12"/>
        <c:axId val="-1049460240"/>
        <c:axId val="-1049449904"/>
      </c:barChart>
      <c:catAx>
        <c:axId val="-10494602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Food Associated with</a:t>
                </a:r>
                <a:r>
                  <a:rPr lang="en-US" b="0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 FPIES-like Reaction</a:t>
                </a:r>
                <a:endParaRPr lang="en-US" b="0">
                  <a:solidFill>
                    <a:schemeClr val="tx1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0.32635716940961779"/>
              <c:y val="0.9241111111111111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049449904"/>
        <c:crosses val="autoZero"/>
        <c:auto val="1"/>
        <c:lblAlgn val="ctr"/>
        <c:lblOffset val="100"/>
        <c:noMultiLvlLbl val="0"/>
      </c:catAx>
      <c:valAx>
        <c:axId val="-1049449904"/>
        <c:scaling>
          <c:orientation val="minMax"/>
          <c:max val="18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#</a:t>
                </a:r>
                <a:r>
                  <a:rPr lang="en-US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 of Patients</a:t>
                </a:r>
                <a:endParaRPr lang="en-US">
                  <a:solidFill>
                    <a:schemeClr val="tx1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1.7167381974248927E-2"/>
              <c:y val="0.3291294838145231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049460240"/>
        <c:crosses val="autoZero"/>
        <c:crossBetween val="between"/>
      </c:valAx>
      <c:spPr>
        <a:noFill/>
        <a:ln>
          <a:noFill/>
        </a:ln>
        <a:effectLst>
          <a:softEdge rad="1270000"/>
        </a:effectLst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2020-09-02T12:14:00Z</dcterms:created>
  <dcterms:modified xsi:type="dcterms:W3CDTF">2020-09-02T12:14:00Z</dcterms:modified>
</cp:coreProperties>
</file>