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tiff" ContentType="image/tiff"/>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4183" w:rsidRDefault="00A64183" w:rsidP="00A64183">
      <w:pPr>
        <w:spacing w:before="162"/>
        <w:rPr>
          <w:rFonts w:ascii="Calibri" w:eastAsiaTheme="minorEastAsia" w:hAnsi="Calibri" w:cs="Calibri"/>
          <w:sz w:val="49"/>
          <w:szCs w:val="49"/>
        </w:rPr>
      </w:pPr>
      <w:bookmarkStart w:id="0" w:name="_Hlk76357688"/>
      <w:r w:rsidRPr="007376D6">
        <w:rPr>
          <w:rFonts w:ascii="Calibri" w:eastAsia="Calibri" w:hAnsi="Calibri" w:cs="Calibri"/>
          <w:sz w:val="49"/>
          <w:szCs w:val="49"/>
        </w:rPr>
        <w:t>Real-time studies of plasma membrane damage trigger cell apoptosis from sulfhydryl nanoparticles to support safety assessment of nanoscale materials</w:t>
      </w:r>
    </w:p>
    <w:p w:rsidR="00A64183" w:rsidRPr="00317416" w:rsidRDefault="00A64183" w:rsidP="00A64183">
      <w:pPr>
        <w:spacing w:line="360" w:lineRule="auto"/>
        <w:rPr>
          <w:rFonts w:eastAsiaTheme="minorEastAsia" w:cs="Times New Roman"/>
        </w:rPr>
      </w:pPr>
      <w:r>
        <w:rPr>
          <w:rFonts w:cs="Times New Roman"/>
        </w:rPr>
        <w:t>Ting Wang</w:t>
      </w:r>
      <w:r>
        <w:rPr>
          <w:rFonts w:eastAsiaTheme="minorEastAsia" w:cs="Times New Roman" w:hint="eastAsia"/>
          <w:vertAlign w:val="superscript"/>
        </w:rPr>
        <w:t>1</w:t>
      </w:r>
      <w:r w:rsidRPr="00632883">
        <w:rPr>
          <w:rFonts w:cs="Times New Roman"/>
        </w:rPr>
        <w:t>*</w:t>
      </w:r>
      <w:r>
        <w:rPr>
          <w:rFonts w:cs="Times New Roman"/>
        </w:rPr>
        <w:t xml:space="preserve">, </w:t>
      </w:r>
      <w:proofErr w:type="spellStart"/>
      <w:r>
        <w:rPr>
          <w:rFonts w:cs="Times New Roman"/>
        </w:rPr>
        <w:t>Guanwen</w:t>
      </w:r>
      <w:proofErr w:type="spellEnd"/>
      <w:r>
        <w:rPr>
          <w:rFonts w:cs="Times New Roman"/>
        </w:rPr>
        <w:t xml:space="preserve"> Qu</w:t>
      </w:r>
      <w:r>
        <w:rPr>
          <w:rFonts w:cs="Times New Roman"/>
          <w:vertAlign w:val="superscript"/>
        </w:rPr>
        <w:t xml:space="preserve"> </w:t>
      </w:r>
      <w:r>
        <w:rPr>
          <w:rFonts w:eastAsiaTheme="minorEastAsia" w:cs="Times New Roman" w:hint="eastAsia"/>
          <w:vertAlign w:val="superscript"/>
        </w:rPr>
        <w:t>2</w:t>
      </w:r>
      <w:r>
        <w:rPr>
          <w:rFonts w:cs="Times New Roman"/>
        </w:rPr>
        <w:t xml:space="preserve">, </w:t>
      </w:r>
      <w:proofErr w:type="spellStart"/>
      <w:r>
        <w:rPr>
          <w:rFonts w:cs="Times New Roman"/>
        </w:rPr>
        <w:t>Chenglong</w:t>
      </w:r>
      <w:proofErr w:type="spellEnd"/>
      <w:r>
        <w:rPr>
          <w:rFonts w:cs="Times New Roman"/>
        </w:rPr>
        <w:t xml:space="preserve"> Cai</w:t>
      </w:r>
      <w:r>
        <w:rPr>
          <w:rFonts w:eastAsiaTheme="minorEastAsia" w:cs="Times New Roman" w:hint="eastAsia"/>
          <w:vertAlign w:val="superscript"/>
        </w:rPr>
        <w:t>1</w:t>
      </w:r>
      <w:r>
        <w:rPr>
          <w:rFonts w:cs="Times New Roman"/>
          <w:vertAlign w:val="superscript"/>
        </w:rPr>
        <w:t xml:space="preserve">, </w:t>
      </w:r>
      <w:r>
        <w:rPr>
          <w:rFonts w:eastAsiaTheme="minorEastAsia" w:cs="Times New Roman" w:hint="eastAsia"/>
          <w:vertAlign w:val="superscript"/>
        </w:rPr>
        <w:t>2</w:t>
      </w:r>
      <w:r>
        <w:rPr>
          <w:rFonts w:cs="Times New Roman"/>
        </w:rPr>
        <w:t xml:space="preserve">, </w:t>
      </w:r>
      <w:proofErr w:type="spellStart"/>
      <w:r>
        <w:rPr>
          <w:rFonts w:cs="Times New Roman"/>
        </w:rPr>
        <w:t>Yichuan</w:t>
      </w:r>
      <w:proofErr w:type="spellEnd"/>
      <w:r>
        <w:rPr>
          <w:rFonts w:cs="Times New Roman"/>
        </w:rPr>
        <w:t xml:space="preserve"> Wang</w:t>
      </w:r>
      <w:r>
        <w:rPr>
          <w:rFonts w:eastAsiaTheme="minorEastAsia" w:cs="Times New Roman" w:hint="eastAsia"/>
          <w:vertAlign w:val="superscript"/>
        </w:rPr>
        <w:t>3</w:t>
      </w:r>
      <w:r>
        <w:rPr>
          <w:rFonts w:cs="Times New Roman"/>
        </w:rPr>
        <w:t xml:space="preserve">, </w:t>
      </w:r>
      <w:proofErr w:type="spellStart"/>
      <w:r>
        <w:rPr>
          <w:rFonts w:cs="Times New Roman"/>
        </w:rPr>
        <w:t>Boru</w:t>
      </w:r>
      <w:proofErr w:type="spellEnd"/>
      <w:r>
        <w:rPr>
          <w:rFonts w:cs="Times New Roman"/>
        </w:rPr>
        <w:t xml:space="preserve"> You</w:t>
      </w:r>
      <w:r>
        <w:rPr>
          <w:rFonts w:eastAsiaTheme="minorEastAsia" w:cs="Times New Roman" w:hint="eastAsia"/>
          <w:vertAlign w:val="superscript"/>
        </w:rPr>
        <w:t>1</w:t>
      </w:r>
      <w:r>
        <w:rPr>
          <w:rFonts w:cs="Times New Roman"/>
        </w:rPr>
        <w:t xml:space="preserve">, </w:t>
      </w:r>
      <w:proofErr w:type="spellStart"/>
      <w:r>
        <w:rPr>
          <w:rFonts w:cs="Times New Roman"/>
        </w:rPr>
        <w:t>Zhewei</w:t>
      </w:r>
      <w:proofErr w:type="spellEnd"/>
      <w:r>
        <w:rPr>
          <w:rFonts w:cs="Times New Roman"/>
        </w:rPr>
        <w:t xml:space="preserve"> Shuai</w:t>
      </w:r>
      <w:r>
        <w:rPr>
          <w:rFonts w:eastAsiaTheme="minorEastAsia" w:cs="Times New Roman" w:hint="eastAsia"/>
          <w:vertAlign w:val="superscript"/>
        </w:rPr>
        <w:t>1</w:t>
      </w:r>
      <w:r>
        <w:rPr>
          <w:rFonts w:cs="Times New Roman"/>
        </w:rPr>
        <w:t xml:space="preserve">, </w:t>
      </w:r>
      <w:proofErr w:type="spellStart"/>
      <w:r>
        <w:rPr>
          <w:rFonts w:cs="Times New Roman"/>
        </w:rPr>
        <w:t>Yixin</w:t>
      </w:r>
      <w:proofErr w:type="spellEnd"/>
      <w:r>
        <w:rPr>
          <w:rFonts w:cs="Times New Roman"/>
        </w:rPr>
        <w:t xml:space="preserve"> Zhang</w:t>
      </w:r>
      <w:r>
        <w:rPr>
          <w:rFonts w:eastAsiaTheme="minorEastAsia" w:cs="Times New Roman" w:hint="eastAsia"/>
          <w:vertAlign w:val="superscript"/>
        </w:rPr>
        <w:t>1</w:t>
      </w:r>
      <w:r>
        <w:rPr>
          <w:rFonts w:cs="Times New Roman"/>
        </w:rPr>
        <w:t>,</w:t>
      </w:r>
      <w:r>
        <w:rPr>
          <w:rFonts w:cs="Times New Roman" w:hint="eastAsia"/>
        </w:rPr>
        <w:t xml:space="preserve"> </w:t>
      </w:r>
      <w:proofErr w:type="spellStart"/>
      <w:r>
        <w:rPr>
          <w:rFonts w:cs="Times New Roman"/>
        </w:rPr>
        <w:t>Zhangqi</w:t>
      </w:r>
      <w:proofErr w:type="spellEnd"/>
      <w:r>
        <w:rPr>
          <w:rFonts w:cs="Times New Roman"/>
        </w:rPr>
        <w:t xml:space="preserve"> Feng</w:t>
      </w:r>
      <w:r>
        <w:rPr>
          <w:rFonts w:eastAsiaTheme="minorEastAsia" w:cs="Times New Roman" w:hint="eastAsia"/>
          <w:vertAlign w:val="superscript"/>
        </w:rPr>
        <w:t>4</w:t>
      </w:r>
      <w:r>
        <w:rPr>
          <w:rFonts w:cs="Times New Roman"/>
        </w:rPr>
        <w:t>, Jing Shang</w:t>
      </w:r>
      <w:r>
        <w:rPr>
          <w:rFonts w:eastAsiaTheme="minorEastAsia" w:cs="Times New Roman" w:hint="eastAsia"/>
          <w:vertAlign w:val="superscript"/>
        </w:rPr>
        <w:t>3</w:t>
      </w:r>
    </w:p>
    <w:bookmarkEnd w:id="0"/>
    <w:p w:rsidR="002A740A" w:rsidRDefault="002A740A" w:rsidP="002A740A">
      <w:pPr>
        <w:spacing w:line="360" w:lineRule="auto"/>
        <w:rPr>
          <w:rFonts w:cs="Times New Roman"/>
        </w:rPr>
      </w:pPr>
      <w:r>
        <w:rPr>
          <w:rFonts w:eastAsiaTheme="minorEastAsia" w:cs="Times New Roman" w:hint="eastAsia"/>
          <w:vertAlign w:val="superscript"/>
        </w:rPr>
        <w:t>1</w:t>
      </w:r>
      <w:r>
        <w:rPr>
          <w:rFonts w:cs="Times New Roman"/>
        </w:rPr>
        <w:t xml:space="preserve"> State Key Laboratory of Bioelectronics, National Demonstration Centre for Experimental Biomedical Engineering Education, School of Biological Science and Medical Engineering, Southeast University, Nanjing 210096, P. R. China.</w:t>
      </w:r>
    </w:p>
    <w:p w:rsidR="002A740A" w:rsidRDefault="002A740A" w:rsidP="002A740A">
      <w:pPr>
        <w:spacing w:line="360" w:lineRule="auto"/>
        <w:rPr>
          <w:rFonts w:cs="Times New Roman"/>
        </w:rPr>
      </w:pPr>
      <w:r>
        <w:rPr>
          <w:rFonts w:eastAsiaTheme="minorEastAsia" w:cs="Times New Roman" w:hint="eastAsia"/>
          <w:vertAlign w:val="superscript"/>
        </w:rPr>
        <w:t>2</w:t>
      </w:r>
      <w:r>
        <w:rPr>
          <w:rFonts w:cs="Times New Roman"/>
        </w:rPr>
        <w:t xml:space="preserve"> Southeast University </w:t>
      </w:r>
      <w:proofErr w:type="spellStart"/>
      <w:r>
        <w:rPr>
          <w:rFonts w:cs="Times New Roman"/>
        </w:rPr>
        <w:t>Jiangbei</w:t>
      </w:r>
      <w:proofErr w:type="spellEnd"/>
      <w:r>
        <w:rPr>
          <w:rFonts w:cs="Times New Roman"/>
        </w:rPr>
        <w:t xml:space="preserve"> New Area Innovation Institute, Nanjing 210096, P. R. China.</w:t>
      </w:r>
    </w:p>
    <w:p w:rsidR="002A740A" w:rsidRDefault="002A740A" w:rsidP="002A740A">
      <w:pPr>
        <w:spacing w:line="360" w:lineRule="auto"/>
        <w:rPr>
          <w:rFonts w:cs="Times New Roman"/>
        </w:rPr>
      </w:pPr>
      <w:r>
        <w:rPr>
          <w:rFonts w:eastAsiaTheme="minorEastAsia" w:cs="Times New Roman" w:hint="eastAsia"/>
          <w:vertAlign w:val="superscript"/>
        </w:rPr>
        <w:t>3</w:t>
      </w:r>
      <w:r w:rsidR="00DF3651">
        <w:rPr>
          <w:rFonts w:cs="Times New Roman"/>
        </w:rPr>
        <w:t xml:space="preserve"> </w:t>
      </w:r>
      <w:bookmarkStart w:id="1" w:name="_GoBack"/>
      <w:bookmarkEnd w:id="1"/>
      <w:r>
        <w:rPr>
          <w:rFonts w:cs="Times New Roman"/>
        </w:rPr>
        <w:t>State Key Laboratory of Natural Medicines, Department of Pharmacology, China Pharmaceutical University, Nanjing 210002, China.</w:t>
      </w:r>
    </w:p>
    <w:p w:rsidR="002A740A" w:rsidRDefault="002A740A" w:rsidP="002A740A">
      <w:pPr>
        <w:spacing w:line="360" w:lineRule="auto"/>
        <w:rPr>
          <w:rFonts w:cs="Times New Roman"/>
        </w:rPr>
      </w:pPr>
      <w:r>
        <w:rPr>
          <w:rFonts w:eastAsiaTheme="minorEastAsia" w:cs="Times New Roman" w:hint="eastAsia"/>
          <w:vertAlign w:val="superscript"/>
        </w:rPr>
        <w:t>4</w:t>
      </w:r>
      <w:r>
        <w:rPr>
          <w:rFonts w:cs="Times New Roman"/>
        </w:rPr>
        <w:t xml:space="preserve"> School of Chemical Engineering, Nanjing University of Science and Technology, Nanjing, Jiangsu 210094, P.R. China.</w:t>
      </w:r>
    </w:p>
    <w:p w:rsidR="00A64183" w:rsidRDefault="00A64183" w:rsidP="002A740A">
      <w:pPr>
        <w:spacing w:line="360" w:lineRule="auto"/>
        <w:rPr>
          <w:rFonts w:cs="Times New Roman"/>
        </w:rPr>
      </w:pPr>
    </w:p>
    <w:p w:rsidR="00CC7415" w:rsidRPr="00906FFF" w:rsidRDefault="0048610D" w:rsidP="002A740A">
      <w:pPr>
        <w:spacing w:line="360" w:lineRule="auto"/>
        <w:rPr>
          <w:b/>
          <w:bCs/>
        </w:rPr>
      </w:pPr>
      <w:r>
        <w:rPr>
          <w:rFonts w:hint="eastAsia"/>
          <w:b/>
          <w:bCs/>
        </w:rPr>
        <w:t xml:space="preserve">Size distribution of </w:t>
      </w:r>
      <w:proofErr w:type="spellStart"/>
      <w:r>
        <w:rPr>
          <w:rFonts w:hint="eastAsia"/>
          <w:b/>
          <w:bCs/>
        </w:rPr>
        <w:t>nanopartibles</w:t>
      </w:r>
      <w:proofErr w:type="spellEnd"/>
      <w:r>
        <w:rPr>
          <w:rFonts w:hint="eastAsia"/>
          <w:b/>
          <w:bCs/>
        </w:rPr>
        <w:t xml:space="preserve"> and </w:t>
      </w:r>
      <w:r w:rsidR="00CC7415">
        <w:rPr>
          <w:b/>
          <w:bCs/>
        </w:rPr>
        <w:t>SSC analysis of C6 cells.</w:t>
      </w:r>
    </w:p>
    <w:p w:rsidR="0048610D" w:rsidRDefault="0048610D" w:rsidP="002A740A">
      <w:pPr>
        <w:spacing w:line="360" w:lineRule="auto"/>
        <w:ind w:firstLine="480"/>
      </w:pPr>
      <w:r>
        <w:rPr>
          <w:rFonts w:hint="eastAsia"/>
        </w:rPr>
        <w:t>D</w:t>
      </w:r>
      <w:r w:rsidRPr="00BA1658">
        <w:t xml:space="preserve">ynamic laser light scattering </w:t>
      </w:r>
      <w:r>
        <w:rPr>
          <w:rFonts w:hint="eastAsia"/>
        </w:rPr>
        <w:t xml:space="preserve">image </w:t>
      </w:r>
      <w:r w:rsidRPr="00BA1658">
        <w:t xml:space="preserve">shown the size distribution of the nanoparticles </w:t>
      </w:r>
      <w:r>
        <w:rPr>
          <w:rFonts w:hint="eastAsia"/>
        </w:rPr>
        <w:t xml:space="preserve">from </w:t>
      </w:r>
      <w:r w:rsidRPr="00BA1658">
        <w:t>50nm and 200nm</w:t>
      </w:r>
      <w:r>
        <w:rPr>
          <w:rFonts w:eastAsiaTheme="minorEastAsia" w:hint="eastAsia"/>
        </w:rPr>
        <w:t xml:space="preserve"> nanoparticles as show in </w:t>
      </w:r>
      <w:r w:rsidRPr="00BA1658">
        <w:t>(Fig</w:t>
      </w:r>
      <w:r>
        <w:t>ure</w:t>
      </w:r>
      <w:r>
        <w:rPr>
          <w:rFonts w:eastAsiaTheme="minorEastAsia" w:hint="eastAsia"/>
        </w:rPr>
        <w:t xml:space="preserve"> </w:t>
      </w:r>
      <w:r w:rsidRPr="0048610D">
        <w:rPr>
          <w:rFonts w:hint="eastAsia"/>
        </w:rPr>
        <w:t>S1a</w:t>
      </w:r>
      <w:r w:rsidRPr="00BA1658">
        <w:t>)</w:t>
      </w:r>
      <w:r>
        <w:rPr>
          <w:rFonts w:hint="eastAsia"/>
        </w:rPr>
        <w:t>.</w:t>
      </w:r>
    </w:p>
    <w:p w:rsidR="002A740A" w:rsidRDefault="002A740A" w:rsidP="002A740A">
      <w:pPr>
        <w:spacing w:line="360" w:lineRule="auto"/>
        <w:ind w:firstLine="480"/>
      </w:pPr>
      <w:r w:rsidRPr="00984398">
        <w:t>Side scattered light (SSC) described the intracellular granularities and complexities of cells.</w:t>
      </w:r>
      <w:r>
        <w:rPr>
          <w:rFonts w:hint="eastAsia"/>
        </w:rPr>
        <w:t xml:space="preserve"> </w:t>
      </w:r>
      <w:r w:rsidRPr="00984398">
        <w:t>Cells with more nanoparticles endocytosed or organelle swell would present high SSC intensities, while newly divided cells and cells with organelle damages would present relatively low SSC intensities [1]. Therefore, after being treated with 50 nm and 200 nm nanoparticles for 8 h, 16 h, and 24 h, SSC intensities of C6 cells were measured to describe the granularity and complexity changes in cells under the effects of the two kinds of nanoparticles. And to distinguish cells with high and low SSC intensities, a threshold I (the higher threshold, red line in figure S</w:t>
      </w:r>
      <w:r w:rsidR="0048610D">
        <w:rPr>
          <w:rFonts w:hint="eastAsia"/>
        </w:rPr>
        <w:t>1b</w:t>
      </w:r>
      <w:r w:rsidRPr="00984398">
        <w:t>) and threshold II (the lower threshold, blue line in figure S</w:t>
      </w:r>
      <w:r w:rsidR="0048610D">
        <w:rPr>
          <w:rFonts w:hint="eastAsia"/>
        </w:rPr>
        <w:t>1b</w:t>
      </w:r>
      <w:r w:rsidRPr="00984398">
        <w:t xml:space="preserve">) were set referring to the control group, </w:t>
      </w:r>
      <w:r w:rsidRPr="00984398">
        <w:lastRenderedPageBreak/>
        <w:t>and over 95% healthy cells distributed within the two thresholds. For 50 nm nanoparticles, the threshold I was set as SSC-H = 106.1, and threshold II was set as SSC-H = 105.7. For 200 nm nanoparticles, the threshold I was set as SSC-H = 106.3, and threshold II was</w:t>
      </w:r>
      <w:r w:rsidR="00CC7415">
        <w:t xml:space="preserve"> set as SSC-H = 106.0 (Figure S</w:t>
      </w:r>
      <w:r w:rsidR="00CC7415">
        <w:rPr>
          <w:rFonts w:hint="eastAsia"/>
        </w:rPr>
        <w:t>1 b</w:t>
      </w:r>
      <w:r w:rsidRPr="00984398">
        <w:t>).</w:t>
      </w:r>
    </w:p>
    <w:p w:rsidR="002A740A" w:rsidRDefault="00E422AD" w:rsidP="002A740A">
      <w:pPr>
        <w:spacing w:line="360" w:lineRule="auto"/>
        <w:ind w:firstLine="480"/>
      </w:pPr>
      <w:r>
        <w:rPr>
          <w:noProof/>
        </w:rPr>
        <w:pict>
          <v:shapetype id="_x0000_t202" coordsize="21600,21600" o:spt="202" path="m,l,21600r21600,l21600,xe">
            <v:stroke joinstyle="miter"/>
            <v:path gradientshapeok="t" o:connecttype="rect"/>
          </v:shapetype>
          <v:shape id="_x0000_s1031" type="#_x0000_t202" style="position:absolute;left:0;text-align:left;margin-left:-10.7pt;margin-top:6.35pt;width:28.15pt;height:38.4pt;z-index:251666432;visibility:visible;mso-height-percent:200;mso-wrap-distance-left:9pt;mso-wrap-distance-top:0;mso-wrap-distance-right:9pt;mso-wrap-distance-bottom:0;mso-position-horizontal-relative:text;mso-position-vertical-relative:text;mso-height-percent:200;mso-width-relative:margin;mso-height-relative:margin;v-text-anchor:top" stroked="f">
            <v:textbox style="mso-fit-shape-to-text:t">
              <w:txbxContent>
                <w:p w:rsidR="00CC7415" w:rsidRPr="00CC7415" w:rsidRDefault="00CC7415">
                  <w:pPr>
                    <w:rPr>
                      <w:sz w:val="30"/>
                      <w:szCs w:val="30"/>
                    </w:rPr>
                  </w:pPr>
                  <w:r w:rsidRPr="00CC7415">
                    <w:rPr>
                      <w:rFonts w:hint="eastAsia"/>
                      <w:sz w:val="30"/>
                      <w:szCs w:val="30"/>
                    </w:rPr>
                    <w:t>a</w:t>
                  </w:r>
                </w:p>
              </w:txbxContent>
            </v:textbox>
          </v:shape>
        </w:pict>
      </w:r>
      <w:r>
        <w:rPr>
          <w:noProof/>
        </w:rPr>
        <w:object w:dxaOrig="1440" w:dyaOrig="1440" w14:anchorId="532C83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 o:spid="_x0000_s1030" type="#_x0000_t75" style="position:absolute;left:0;text-align:left;margin-left:-5.7pt;margin-top:1.1pt;width:257.05pt;height:179.95pt;z-index:251664384;visibility:visible" fillcolor="#4f81bd">
            <v:imagedata r:id="rId6" o:title=""/>
            <v:shadow color="#eeece1"/>
          </v:shape>
          <o:OLEObject Type="Embed" ProgID="Origin50.Graph" ShapeID="Object 3" DrawAspect="Content" ObjectID="_1687116219" r:id="rId7"/>
        </w:object>
      </w:r>
    </w:p>
    <w:p w:rsidR="002A740A" w:rsidRDefault="002A740A" w:rsidP="002A740A">
      <w:pPr>
        <w:spacing w:line="360" w:lineRule="auto"/>
        <w:ind w:firstLine="480"/>
      </w:pPr>
    </w:p>
    <w:p w:rsidR="002A740A" w:rsidRDefault="002A740A" w:rsidP="002A740A">
      <w:pPr>
        <w:spacing w:line="360" w:lineRule="auto"/>
        <w:ind w:firstLine="480"/>
      </w:pPr>
    </w:p>
    <w:p w:rsidR="002A740A" w:rsidRDefault="002A740A" w:rsidP="002A740A">
      <w:pPr>
        <w:spacing w:line="360" w:lineRule="auto"/>
        <w:ind w:firstLine="480"/>
      </w:pPr>
    </w:p>
    <w:p w:rsidR="002A740A" w:rsidRDefault="002A740A" w:rsidP="002A740A">
      <w:pPr>
        <w:spacing w:line="360" w:lineRule="auto"/>
        <w:ind w:firstLine="480"/>
      </w:pPr>
    </w:p>
    <w:p w:rsidR="002A740A" w:rsidRPr="00CC7415" w:rsidRDefault="002A740A" w:rsidP="002A740A">
      <w:pPr>
        <w:spacing w:line="360" w:lineRule="auto"/>
        <w:ind w:firstLine="480"/>
      </w:pPr>
    </w:p>
    <w:p w:rsidR="002A740A" w:rsidRDefault="002A740A" w:rsidP="002A740A">
      <w:pPr>
        <w:spacing w:line="360" w:lineRule="auto"/>
        <w:ind w:firstLine="480"/>
      </w:pPr>
    </w:p>
    <w:p w:rsidR="002A740A" w:rsidRDefault="00E422AD" w:rsidP="002A740A">
      <w:pPr>
        <w:spacing w:line="360" w:lineRule="auto"/>
        <w:jc w:val="left"/>
      </w:pPr>
      <w:r>
        <w:rPr>
          <w:noProof/>
        </w:rPr>
        <w:pict>
          <v:shape id="_x0000_s1032" type="#_x0000_t202" style="position:absolute;margin-left:-9.2pt;margin-top:17.25pt;width:28.15pt;height:38.4pt;z-index:251667456;visibility:visible;mso-height-percent:200;mso-wrap-distance-left:9pt;mso-wrap-distance-top:0;mso-wrap-distance-right:9pt;mso-wrap-distance-bottom:0;mso-position-horizontal-relative:text;mso-position-vertical-relative:text;mso-height-percent:200;mso-width-relative:margin;mso-height-relative:margin;v-text-anchor:top" stroked="f">
            <v:textbox style="mso-fit-shape-to-text:t">
              <w:txbxContent>
                <w:p w:rsidR="0048610D" w:rsidRPr="00CC7415" w:rsidRDefault="0048610D">
                  <w:pPr>
                    <w:rPr>
                      <w:sz w:val="30"/>
                      <w:szCs w:val="30"/>
                    </w:rPr>
                  </w:pPr>
                  <w:r>
                    <w:rPr>
                      <w:rFonts w:hint="eastAsia"/>
                      <w:sz w:val="30"/>
                      <w:szCs w:val="30"/>
                    </w:rPr>
                    <w:t>b</w:t>
                  </w:r>
                </w:p>
              </w:txbxContent>
            </v:textbox>
          </v:shape>
        </w:pict>
      </w:r>
      <w:r w:rsidR="002A740A">
        <w:rPr>
          <w:noProof/>
        </w:rPr>
        <w:drawing>
          <wp:inline distT="0" distB="0" distL="0" distR="0" wp14:anchorId="702A97A5" wp14:editId="2D089213">
            <wp:extent cx="5759806" cy="3639312"/>
            <wp:effectExtent l="0" t="0" r="0" b="0"/>
            <wp:docPr id="2" name="Picture 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9806" cy="3639312"/>
                    </a:xfrm>
                    <a:prstGeom prst="rect">
                      <a:avLst/>
                    </a:prstGeom>
                  </pic:spPr>
                </pic:pic>
              </a:graphicData>
            </a:graphic>
          </wp:inline>
        </w:drawing>
      </w:r>
    </w:p>
    <w:p w:rsidR="002A740A" w:rsidRDefault="002A740A" w:rsidP="002A740A">
      <w:pPr>
        <w:spacing w:line="360" w:lineRule="auto"/>
      </w:pPr>
      <w:r>
        <w:t>Figure S</w:t>
      </w:r>
      <w:r w:rsidR="00CC7415">
        <w:rPr>
          <w:rFonts w:hint="eastAsia"/>
        </w:rPr>
        <w:t>1</w:t>
      </w:r>
      <w:r>
        <w:t>.</w:t>
      </w:r>
      <w:r w:rsidR="00CC7415">
        <w:rPr>
          <w:rFonts w:hint="eastAsia"/>
        </w:rPr>
        <w:t xml:space="preserve"> (a). The size distribution of 50nm and 200nm nanoparticles. (b). </w:t>
      </w:r>
      <w:r>
        <w:t xml:space="preserve">SSC-H maps of cells with and without 50 nm and 200 nm nanoparticle treatments. Red lines were the thresholds </w:t>
      </w:r>
      <w:r>
        <w:fldChar w:fldCharType="begin"/>
      </w:r>
      <w:r>
        <w:instrText xml:space="preserve"> </w:instrText>
      </w:r>
      <w:r>
        <w:rPr>
          <w:rFonts w:hint="eastAsia"/>
        </w:rPr>
        <w:instrText>= 1 \* ROMAN</w:instrText>
      </w:r>
      <w:r>
        <w:instrText xml:space="preserve"> </w:instrText>
      </w:r>
      <w:r>
        <w:fldChar w:fldCharType="separate"/>
      </w:r>
      <w:r>
        <w:rPr>
          <w:noProof/>
        </w:rPr>
        <w:t>I</w:t>
      </w:r>
      <w:r>
        <w:fldChar w:fldCharType="end"/>
      </w:r>
      <w:r>
        <w:t xml:space="preserve"> distinguishing the cells with high SSC intensity. Blue lines were the thresholds </w:t>
      </w:r>
      <w:r>
        <w:fldChar w:fldCharType="begin"/>
      </w:r>
      <w:r>
        <w:instrText xml:space="preserve"> </w:instrText>
      </w:r>
      <w:r>
        <w:rPr>
          <w:rFonts w:hint="eastAsia"/>
        </w:rPr>
        <w:instrText>= 2 \* ROMAN</w:instrText>
      </w:r>
      <w:r>
        <w:instrText xml:space="preserve"> </w:instrText>
      </w:r>
      <w:r>
        <w:fldChar w:fldCharType="separate"/>
      </w:r>
      <w:r>
        <w:rPr>
          <w:noProof/>
        </w:rPr>
        <w:t>II</w:t>
      </w:r>
      <w:r>
        <w:fldChar w:fldCharType="end"/>
      </w:r>
      <w:r>
        <w:t xml:space="preserve"> distinguishing the cells with low SSC intensities. </w:t>
      </w:r>
    </w:p>
    <w:p w:rsidR="00906FFF" w:rsidRPr="001671F5" w:rsidRDefault="001671F5" w:rsidP="001671F5">
      <w:pPr>
        <w:autoSpaceDE w:val="0"/>
        <w:autoSpaceDN w:val="0"/>
        <w:adjustRightInd w:val="0"/>
        <w:spacing w:line="480" w:lineRule="auto"/>
        <w:rPr>
          <w:b/>
          <w:bCs/>
          <w:sz w:val="28"/>
          <w:szCs w:val="28"/>
        </w:rPr>
      </w:pPr>
      <w:r w:rsidRPr="0061147F">
        <w:rPr>
          <w:b/>
          <w:bCs/>
        </w:rPr>
        <w:lastRenderedPageBreak/>
        <w:t>Sum Frequency Generation</w:t>
      </w:r>
      <w:r>
        <w:rPr>
          <w:b/>
          <w:bCs/>
        </w:rPr>
        <w:t xml:space="preserve"> (SFG)</w:t>
      </w:r>
      <w:r w:rsidRPr="0061147F">
        <w:rPr>
          <w:b/>
          <w:bCs/>
        </w:rPr>
        <w:t xml:space="preserve"> Vibrational Spectroscopic Experiment </w:t>
      </w:r>
    </w:p>
    <w:p w:rsidR="001671F5" w:rsidRPr="0061147F" w:rsidRDefault="00BF2D22" w:rsidP="001671F5">
      <w:pPr>
        <w:autoSpaceDE w:val="0"/>
        <w:autoSpaceDN w:val="0"/>
        <w:adjustRightInd w:val="0"/>
        <w:spacing w:line="480" w:lineRule="auto"/>
        <w:ind w:firstLineChars="183" w:firstLine="439"/>
      </w:pPr>
      <w:r>
        <w:rPr>
          <w:rFonts w:hint="eastAsia"/>
        </w:rPr>
        <w:t xml:space="preserve"> </w:t>
      </w:r>
      <w:r>
        <w:t xml:space="preserve">  </w:t>
      </w:r>
      <w:r w:rsidR="00804DC0" w:rsidRPr="0061147F">
        <w:t xml:space="preserve">As a nonlinear optical process, </w:t>
      </w:r>
      <w:r w:rsidR="00804DC0">
        <w:t>SFG</w:t>
      </w:r>
      <w:r w:rsidR="00804DC0" w:rsidRPr="0061147F">
        <w:t xml:space="preserve"> is only allowed under electric-dipole approximation in media without inversion symmetry. At surfaces or interfaces, the inversion symmetry of the bulk is broken and therefore SFG is allowed. </w:t>
      </w:r>
      <w:r w:rsidR="001671F5" w:rsidRPr="0061147F">
        <w:t>SFG is a process in which two input beams at frequencies ω</w:t>
      </w:r>
      <w:r w:rsidR="001671F5" w:rsidRPr="0061147F">
        <w:rPr>
          <w:vertAlign w:val="subscript"/>
        </w:rPr>
        <w:t>1</w:t>
      </w:r>
      <w:r w:rsidR="001671F5" w:rsidRPr="0061147F">
        <w:t xml:space="preserve"> and ω</w:t>
      </w:r>
      <w:r w:rsidR="001671F5" w:rsidRPr="0061147F">
        <w:rPr>
          <w:vertAlign w:val="subscript"/>
        </w:rPr>
        <w:t>2</w:t>
      </w:r>
      <w:r w:rsidR="001671F5" w:rsidRPr="0061147F">
        <w:t xml:space="preserve"> mix in a medium and generate an output beam at the sum frequency ω = ω</w:t>
      </w:r>
      <w:r w:rsidR="001671F5" w:rsidRPr="0061147F">
        <w:rPr>
          <w:vertAlign w:val="subscript"/>
        </w:rPr>
        <w:t>1</w:t>
      </w:r>
      <w:r w:rsidR="001671F5" w:rsidRPr="0061147F">
        <w:t xml:space="preserve"> + ω</w:t>
      </w:r>
      <w:r w:rsidR="001671F5" w:rsidRPr="0061147F">
        <w:rPr>
          <w:vertAlign w:val="subscript"/>
        </w:rPr>
        <w:t>2</w:t>
      </w:r>
      <w:r w:rsidR="001671F5">
        <w:t>.</w:t>
      </w:r>
      <w:r w:rsidR="001671F5" w:rsidRPr="0061147F">
        <w:t xml:space="preserve"> For IR-visible SFG vibrational spectroscopy, ω</w:t>
      </w:r>
      <w:r w:rsidR="001671F5" w:rsidRPr="0061147F">
        <w:rPr>
          <w:vertAlign w:val="subscript"/>
        </w:rPr>
        <w:t>1</w:t>
      </w:r>
      <w:r w:rsidR="001671F5" w:rsidRPr="0061147F">
        <w:t xml:space="preserve">, the frequency of the IR input beam, is tunable. If it is scanned over a vibrational resonance, SFG signal can be resonantly enhanced. Therefore SFG spectra can be collected by detecting SFG signals as a function of input IR frequency from surfaces and interfaces. </w:t>
      </w:r>
    </w:p>
    <w:p w:rsidR="001671F5" w:rsidRPr="0061147F" w:rsidRDefault="001671F5" w:rsidP="001671F5">
      <w:pPr>
        <w:spacing w:line="480" w:lineRule="auto"/>
        <w:ind w:firstLine="440"/>
      </w:pPr>
      <w:r w:rsidRPr="0061147F">
        <w:t>The supported lipid bilayers were constructed using the Langmuir-Blodgett and Langmuir Schaeffer method on CaF</w:t>
      </w:r>
      <w:r w:rsidRPr="0061147F">
        <w:rPr>
          <w:vertAlign w:val="subscript"/>
        </w:rPr>
        <w:t>2</w:t>
      </w:r>
      <w:r w:rsidRPr="0061147F">
        <w:t xml:space="preserve"> right-angle prisms (Altos, Trabuco Canyon, CA)</w:t>
      </w:r>
      <w:r>
        <w:t>.</w:t>
      </w:r>
      <w:r w:rsidRPr="0061147F">
        <w:t xml:space="preserve"> These prisms were soaked in toluene overnight and then sonicated in a Contrex AP solution from Decon Laboratories (King of Prussia, PA).They were then rinsed with water before being immersed in methanol for 1 h. After that, the prisms were rinsed again thoroughly with a large amount of deionized water and then cleaned in a glow discharge plasma chamber for 4 min immediately before the bilayer preparation. Substrates were tested by collecting SFG signals from their surfaces in air, and no contamination was detected. A KSV2000 LB system and ultrapure water from a Millipore system (Millipore, Bedford, MA) were usedthroughout the bilayer preparation. Aclean CaF</w:t>
      </w:r>
      <w:r w:rsidRPr="0061147F">
        <w:rPr>
          <w:vertAlign w:val="subscript"/>
        </w:rPr>
        <w:t>2</w:t>
      </w:r>
      <w:r>
        <w:rPr>
          <w:vertAlign w:val="subscript"/>
        </w:rPr>
        <w:t xml:space="preserve"> </w:t>
      </w:r>
      <w:r w:rsidRPr="0061147F">
        <w:t xml:space="preserve">prism was attached to a sample holder via one right-angle face. The other right-angle face was perpendicularly immersed in the water inside of the Langmuir trough. Anappropriate amount of lipid chloroform solution was then gently spread onto the water surface, </w:t>
      </w:r>
      <w:r w:rsidRPr="0061147F">
        <w:lastRenderedPageBreak/>
        <w:t>and the chloroform was allowed to evaporate. The lipid monolayer area was compressed by two barriers at a rate of 5 mm/min until a surface pressure of 34mN/m was reached. The prism was lifted out of the sub-phase at a rate of 1 mm/min. A monolayer of lipid on the prism was thus prepared. A reservoir was placed in a large trough slightly deeper than it so that water could cover the reservoir. The right-angle surface of the prism with the lipid monolayer was horizontally lowered to contact theother lipid monolayer deposited on the water surface (with a surface pressure of 34 mN/m) of the trough to form a lipid bilayer. After the formation of the bilayer, the extra lipidsat the air-water interface were removed using a micropipette. Water in the large trough was drained while keeping the bilayer immersed in water inside of the small reservoir so that a very small amount of m/NPswould be sufficient for the experiment. The bilayer was immersed in water throughout the entire experiment, and a small amount of water was added to the reservoir, when needed, to compensate for water evapora</w:t>
      </w:r>
      <w:r>
        <w:t>tion during lengthy experiments</w:t>
      </w:r>
      <w:r w:rsidRPr="0061147F">
        <w:t>.</w:t>
      </w:r>
    </w:p>
    <w:p w:rsidR="001671F5" w:rsidRPr="0061147F" w:rsidRDefault="001671F5" w:rsidP="001671F5">
      <w:pPr>
        <w:kinsoku w:val="0"/>
        <w:overflowPunct w:val="0"/>
        <w:autoSpaceDE w:val="0"/>
        <w:autoSpaceDN w:val="0"/>
        <w:adjustRightInd w:val="0"/>
        <w:spacing w:line="480" w:lineRule="auto"/>
        <w:ind w:firstLineChars="300" w:firstLine="720"/>
      </w:pPr>
      <w:r w:rsidRPr="0061147F">
        <w:t xml:space="preserve">For the m/NPs-bilayer interaction experiments, a small amount of the NP aqueous stock solution was injected into the small reservoir of 2 mL in contact with the lipid bilayer to achieve the desiredNP concentration. A magnetic micro-stirrer was used to ensure a homogeneous concentration distribution of m/NPs in the sub-phase below the bilayer. SFG spectra were then collected from the lipid bilayer with m/NPs using different polarization combinations of the input and output beams including ssp (s-polarized sum frequency signal, s-polarized visible input beam, and p-polarized IR input beam) and ppp. All the experiments were carried out at room temperature (23 °C). </w:t>
      </w:r>
    </w:p>
    <w:p w:rsidR="001671F5" w:rsidRDefault="001671F5" w:rsidP="001671F5">
      <w:pPr>
        <w:kinsoku w:val="0"/>
        <w:overflowPunct w:val="0"/>
        <w:autoSpaceDE w:val="0"/>
        <w:autoSpaceDN w:val="0"/>
        <w:adjustRightInd w:val="0"/>
        <w:spacing w:line="480" w:lineRule="auto"/>
        <w:ind w:firstLineChars="300" w:firstLine="672"/>
        <w:rPr>
          <w:spacing w:val="-8"/>
        </w:rPr>
      </w:pPr>
      <w:r w:rsidRPr="0061147F">
        <w:rPr>
          <w:spacing w:val="-8"/>
        </w:rPr>
        <w:lastRenderedPageBreak/>
        <w:t xml:space="preserve">In this research, to monitor how m/NPs interact with each leaflet of the lipid bilayer, bilayers with one deuterated lipid leaflet as the distal leaflet (or outer leaflet) and one hydrogenated lipid leaflet as the proximal leaflet (or inner leaflet) were constructed. SFG can be used to study two leaflets simultaneously by detecting C-D and C-H stretching signals respectively. To monitor C-H signals from m/NPs, lipid bilayers with both deuterated leaflets have also been used in the experiment. </w:t>
      </w:r>
      <w:r w:rsidR="00804DC0">
        <w:rPr>
          <w:spacing w:val="-8"/>
        </w:rPr>
        <w:t xml:space="preserve">We show the molecular structure of </w:t>
      </w:r>
      <w:r w:rsidRPr="0061147F">
        <w:rPr>
          <w:spacing w:val="-8"/>
        </w:rPr>
        <w:t>1,2-distearoyl(d70)–sn–glycerol-3-phosphocholine-1,1,2,2-d4-N,N,N-trimethyl-d9 (d-DSPC)</w:t>
      </w:r>
      <w:r w:rsidR="00804DC0">
        <w:rPr>
          <w:spacing w:val="-8"/>
        </w:rPr>
        <w:t xml:space="preserve">, </w:t>
      </w:r>
      <w:r w:rsidRPr="0061147F">
        <w:rPr>
          <w:spacing w:val="-8"/>
        </w:rPr>
        <w:t xml:space="preserve"> 1,2-distearoyl-sn-glycero-3-phosphocholine (DSPC) </w:t>
      </w:r>
      <w:r w:rsidR="00804DC0">
        <w:rPr>
          <w:spacing w:val="-8"/>
        </w:rPr>
        <w:t xml:space="preserve">and </w:t>
      </w:r>
      <w:r w:rsidR="00D95F19" w:rsidRPr="00D95F19">
        <w:rPr>
          <w:spacing w:val="-8"/>
        </w:rPr>
        <w:t>1-palmitoyl-2-oleoyl-glycero-3-phosphocholine</w:t>
      </w:r>
      <w:r w:rsidR="00D95F19">
        <w:rPr>
          <w:spacing w:val="-8"/>
        </w:rPr>
        <w:t xml:space="preserve"> (</w:t>
      </w:r>
      <w:r w:rsidR="00940065">
        <w:rPr>
          <w:spacing w:val="-8"/>
        </w:rPr>
        <w:t>POPC</w:t>
      </w:r>
      <w:r w:rsidR="00D95F19">
        <w:rPr>
          <w:rFonts w:hint="eastAsia"/>
          <w:spacing w:val="-8"/>
        </w:rPr>
        <w:t>)</w:t>
      </w:r>
      <w:r w:rsidR="00940065">
        <w:rPr>
          <w:spacing w:val="-8"/>
        </w:rPr>
        <w:t xml:space="preserve">, all the lipids were </w:t>
      </w:r>
      <w:r w:rsidRPr="0061147F">
        <w:rPr>
          <w:spacing w:val="-8"/>
        </w:rPr>
        <w:t>from Avanti Polar Lipids, Alabaster were used.</w:t>
      </w:r>
    </w:p>
    <w:p w:rsidR="00241B82" w:rsidRDefault="00BF2D22" w:rsidP="006B273A">
      <w:pPr>
        <w:spacing w:line="360" w:lineRule="auto"/>
      </w:pPr>
      <w:r>
        <w:t xml:space="preserve">The molecular structure for the lipid membrane were show as fig S1.  </w:t>
      </w:r>
    </w:p>
    <w:p w:rsidR="00D80C9B" w:rsidRDefault="00E422AD" w:rsidP="006B273A">
      <w:pPr>
        <w:spacing w:line="360" w:lineRule="auto"/>
      </w:pPr>
      <w:r>
        <w:rPr>
          <w:noProof/>
        </w:rPr>
        <w:pict>
          <v:shape id="文本框 2" o:spid="_x0000_s1026" type="#_x0000_t202" style="position:absolute;left:0;text-align:left;margin-left:433.65pt;margin-top:27.9pt;width:60pt;height:24.8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" stroked="f">
            <v:textbox>
              <w:txbxContent>
                <w:p w:rsidR="00D80C9B" w:rsidRPr="00D80C9B" w:rsidRDefault="00D80C9B">
                  <w:pPr>
                    <w:rPr>
                      <w:b/>
                      <w:bCs/>
                    </w:rPr>
                  </w:pPr>
                  <w:r w:rsidRPr="00D80C9B">
                    <w:rPr>
                      <w:b/>
                      <w:bCs/>
                    </w:rPr>
                    <w:t>d-DSPC</w:t>
                  </w:r>
                </w:p>
              </w:txbxContent>
            </v:textbox>
          </v:shape>
        </w:pict>
      </w:r>
      <w:r w:rsidR="00D80C9B">
        <w:rPr>
          <w:noProof/>
        </w:rPr>
        <w:drawing>
          <wp:inline distT="0" distB="0" distL="0" distR="0">
            <wp:extent cx="4996543" cy="1099239"/>
            <wp:effectExtent l="0" t="0" r="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30805" cy="1128777"/>
                    </a:xfrm>
                    <a:prstGeom prst="rect">
                      <a:avLst/>
                    </a:prstGeom>
                  </pic:spPr>
                </pic:pic>
              </a:graphicData>
            </a:graphic>
          </wp:inline>
        </w:drawing>
      </w:r>
    </w:p>
    <w:p w:rsidR="00D80C9B" w:rsidRDefault="00D80C9B" w:rsidP="006B273A">
      <w:pPr>
        <w:spacing w:line="360" w:lineRule="auto"/>
      </w:pPr>
    </w:p>
    <w:p w:rsidR="00D80C9B" w:rsidRDefault="00E422AD" w:rsidP="006B273A">
      <w:pPr>
        <w:spacing w:line="360" w:lineRule="auto"/>
      </w:pPr>
      <w:r>
        <w:rPr>
          <w:noProof/>
        </w:rPr>
        <w:pict>
          <v:shape id="_x0000_s1027" type="#_x0000_t202" style="position:absolute;left:0;text-align:left;margin-left:435.15pt;margin-top:29.15pt;width:60pt;height:24.8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" stroked="f">
            <v:textbox>
              <w:txbxContent>
                <w:p w:rsidR="00D80C9B" w:rsidRPr="00D80C9B" w:rsidRDefault="00D80C9B">
                  <w:pPr>
                    <w:rPr>
                      <w:b/>
                      <w:bCs/>
                    </w:rPr>
                  </w:pPr>
                  <w:r w:rsidRPr="00D80C9B">
                    <w:rPr>
                      <w:b/>
                      <w:bCs/>
                    </w:rPr>
                    <w:t>DSPC</w:t>
                  </w:r>
                </w:p>
              </w:txbxContent>
            </v:textbox>
          </v:shape>
        </w:pict>
      </w:r>
      <w:r w:rsidR="00D80C9B">
        <w:rPr>
          <w:rFonts w:hint="eastAsia"/>
          <w:noProof/>
        </w:rPr>
        <w:drawing>
          <wp:inline distT="0" distB="0" distL="0" distR="0">
            <wp:extent cx="5078186" cy="897146"/>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69757" cy="913323"/>
                    </a:xfrm>
                    <a:prstGeom prst="rect">
                      <a:avLst/>
                    </a:prstGeom>
                  </pic:spPr>
                </pic:pic>
              </a:graphicData>
            </a:graphic>
          </wp:inline>
        </w:drawing>
      </w:r>
    </w:p>
    <w:p w:rsidR="00D80C9B" w:rsidRDefault="00D80C9B" w:rsidP="006B273A">
      <w:pPr>
        <w:spacing w:line="360" w:lineRule="auto"/>
      </w:pPr>
    </w:p>
    <w:p w:rsidR="00D80C9B" w:rsidRDefault="00E422AD" w:rsidP="006B273A">
      <w:pPr>
        <w:spacing w:line="360" w:lineRule="auto"/>
      </w:pPr>
      <w:r>
        <w:rPr>
          <w:noProof/>
        </w:rPr>
        <w:pict>
          <v:shape id="_x0000_s1028" type="#_x0000_t202" style="position:absolute;left:0;text-align:left;margin-left:432.9pt;margin-top:27.55pt;width:60pt;height:24.8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" stroked="f">
            <v:textbox>
              <w:txbxContent>
                <w:p w:rsidR="00D80C9B" w:rsidRPr="00D80C9B" w:rsidRDefault="00D80C9B">
                  <w:pPr>
                    <w:rPr>
                      <w:b/>
                      <w:bCs/>
                    </w:rPr>
                  </w:pPr>
                  <w:r>
                    <w:rPr>
                      <w:b/>
                      <w:bCs/>
                    </w:rPr>
                    <w:t>PO</w:t>
                  </w:r>
                  <w:r w:rsidRPr="00D80C9B">
                    <w:rPr>
                      <w:b/>
                      <w:bCs/>
                    </w:rPr>
                    <w:t>PC</w:t>
                  </w:r>
                </w:p>
              </w:txbxContent>
            </v:textbox>
          </v:shape>
        </w:pict>
      </w:r>
      <w:r w:rsidR="00D80C9B">
        <w:rPr>
          <w:rFonts w:hint="eastAsia"/>
          <w:noProof/>
        </w:rPr>
        <w:drawing>
          <wp:inline distT="0" distB="0" distL="0" distR="0">
            <wp:extent cx="5110843" cy="954024"/>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09339" cy="972410"/>
                    </a:xfrm>
                    <a:prstGeom prst="rect">
                      <a:avLst/>
                    </a:prstGeom>
                  </pic:spPr>
                </pic:pic>
              </a:graphicData>
            </a:graphic>
          </wp:inline>
        </w:drawing>
      </w:r>
    </w:p>
    <w:p w:rsidR="00BF2D22" w:rsidRDefault="00FD6FC1" w:rsidP="00F0481F">
      <w:pPr>
        <w:spacing w:line="360" w:lineRule="auto"/>
        <w:jc w:val="center"/>
      </w:pPr>
      <w:r>
        <w:rPr>
          <w:rFonts w:hint="eastAsia"/>
        </w:rPr>
        <w:t>Fig</w:t>
      </w:r>
      <w:r w:rsidR="00F0481F">
        <w:t xml:space="preserve"> </w:t>
      </w:r>
      <w:r w:rsidR="00F0481F">
        <w:rPr>
          <w:rFonts w:hint="eastAsia"/>
        </w:rPr>
        <w:t>S</w:t>
      </w:r>
      <w:r w:rsidR="002A740A">
        <w:rPr>
          <w:rFonts w:hint="eastAsia"/>
        </w:rPr>
        <w:t>2</w:t>
      </w:r>
      <w:r w:rsidR="00F0481F">
        <w:t xml:space="preserve"> </w:t>
      </w:r>
      <w:proofErr w:type="gramStart"/>
      <w:r w:rsidR="00F0481F">
        <w:t>The</w:t>
      </w:r>
      <w:proofErr w:type="gramEnd"/>
      <w:r w:rsidR="00F0481F">
        <w:t xml:space="preserve"> molecular structure for the lipid membrane </w:t>
      </w:r>
      <w:r w:rsidR="00F0481F">
        <w:rPr>
          <w:rFonts w:hint="eastAsia"/>
        </w:rPr>
        <w:t>of</w:t>
      </w:r>
      <w:r w:rsidR="00F0481F">
        <w:t xml:space="preserve"> d-DSPC, DSPC and POPC</w:t>
      </w:r>
    </w:p>
    <w:p w:rsidR="005D5815" w:rsidRDefault="005D5815" w:rsidP="006B273A">
      <w:pPr>
        <w:spacing w:line="360" w:lineRule="auto"/>
      </w:pPr>
    </w:p>
    <w:p w:rsidR="006B273A" w:rsidRDefault="001E5415" w:rsidP="00BF6772">
      <w:pPr>
        <w:spacing w:line="360" w:lineRule="auto"/>
        <w:ind w:firstLine="480"/>
      </w:pPr>
      <w:r>
        <w:lastRenderedPageBreak/>
        <w:t>Figure S</w:t>
      </w:r>
      <w:r w:rsidR="009B748F">
        <w:t>3</w:t>
      </w:r>
      <w:r>
        <w:t xml:space="preserve"> showed the quantity changes of cells with high SSC intensit</w:t>
      </w:r>
      <w:r w:rsidR="00BF6772">
        <w:t>ies</w:t>
      </w:r>
      <w:r>
        <w:t xml:space="preserve"> (SSC-H was higher than the threshold </w:t>
      </w:r>
      <w:r w:rsidR="00CA4DAB">
        <w:fldChar w:fldCharType="begin"/>
      </w:r>
      <w:r>
        <w:instrText xml:space="preserve"> </w:instrText>
      </w:r>
      <w:r>
        <w:rPr>
          <w:rFonts w:hint="eastAsia"/>
        </w:rPr>
        <w:instrText>= 1 \* ROMAN</w:instrText>
      </w:r>
      <w:r>
        <w:instrText xml:space="preserve"> </w:instrText>
      </w:r>
      <w:r w:rsidR="00CA4DAB">
        <w:fldChar w:fldCharType="separate"/>
      </w:r>
      <w:r>
        <w:rPr>
          <w:noProof/>
        </w:rPr>
        <w:t>I</w:t>
      </w:r>
      <w:r w:rsidR="00CA4DAB">
        <w:fldChar w:fldCharType="end"/>
      </w:r>
      <w:r>
        <w:t>), which indicated cells endocytosed large quantities of nanoparticles. According to the results, both 50 nm and 200 nm nanoparticle treatments could increase the SSC intensit</w:t>
      </w:r>
      <w:r w:rsidR="00BF6772">
        <w:t>ies</w:t>
      </w:r>
      <w:r>
        <w:t xml:space="preserve"> in cells, indicating that the two kinds of nanoparticles could both be endocytosed by cells. And r</w:t>
      </w:r>
      <w:r w:rsidR="006B273A">
        <w:t>egarding time scale, the cell proportion with nanoparticle internalized increased within 24 h</w:t>
      </w:r>
      <w:r w:rsidR="00C23139">
        <w:t>, which proved that 50 nm and 200 nm nanoparticles were continually endocytosed by cells and then accumulated in cells.</w:t>
      </w:r>
    </w:p>
    <w:p w:rsidR="00FC776F" w:rsidRDefault="00FC776F" w:rsidP="001E5415">
      <w:pPr>
        <w:spacing w:line="360" w:lineRule="auto"/>
      </w:pPr>
    </w:p>
    <w:p w:rsidR="00FC776F" w:rsidRDefault="00FC776F" w:rsidP="0048610D">
      <w:pPr>
        <w:spacing w:line="360" w:lineRule="auto"/>
        <w:jc w:val="center"/>
      </w:pPr>
      <w:r>
        <w:rPr>
          <w:noProof/>
        </w:rPr>
        <w:drawing>
          <wp:inline distT="0" distB="0" distL="0" distR="0">
            <wp:extent cx="4315078" cy="3261360"/>
            <wp:effectExtent l="0" t="0" r="0" b="0"/>
            <wp:docPr id="4" name="Picture 4"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2.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09106" cy="3256847"/>
                    </a:xfrm>
                    <a:prstGeom prst="rect">
                      <a:avLst/>
                    </a:prstGeom>
                  </pic:spPr>
                </pic:pic>
              </a:graphicData>
            </a:graphic>
          </wp:inline>
        </w:drawing>
      </w:r>
    </w:p>
    <w:p w:rsidR="00FC776F" w:rsidRDefault="00FC776F" w:rsidP="001E5415">
      <w:pPr>
        <w:spacing w:line="360" w:lineRule="auto"/>
      </w:pPr>
      <w:r>
        <w:t>Figure S</w:t>
      </w:r>
      <w:r w:rsidR="009B748F">
        <w:t>3</w:t>
      </w:r>
      <w:r>
        <w:t>. The proportions of cells with high SSC intensities after cells were treated with 50 nm and 200 nm nanoparticles.</w:t>
      </w:r>
    </w:p>
    <w:p w:rsidR="004958A5" w:rsidRDefault="004958A5" w:rsidP="004958A5">
      <w:pPr>
        <w:spacing w:line="360" w:lineRule="auto"/>
        <w:ind w:firstLine="480"/>
      </w:pPr>
      <w:r>
        <w:t xml:space="preserve">Figure </w:t>
      </w:r>
      <w:r w:rsidR="00C23139">
        <w:t>S</w:t>
      </w:r>
      <w:r w:rsidR="009B748F">
        <w:t>4</w:t>
      </w:r>
      <w:r>
        <w:t xml:space="preserve"> demonstrated the quantity changes of cells with low SSC intensit</w:t>
      </w:r>
      <w:r w:rsidR="00BF6772">
        <w:t>ies</w:t>
      </w:r>
      <w:r>
        <w:t xml:space="preserve"> (SSC intensity lower than threshold </w:t>
      </w:r>
      <w:r w:rsidR="00CA4DAB">
        <w:fldChar w:fldCharType="begin"/>
      </w:r>
      <w:r w:rsidR="00FC776F">
        <w:instrText xml:space="preserve"> </w:instrText>
      </w:r>
      <w:r w:rsidR="00FC776F">
        <w:rPr>
          <w:rFonts w:hint="eastAsia"/>
        </w:rPr>
        <w:instrText>= 2 \* ROMAN</w:instrText>
      </w:r>
      <w:r w:rsidR="00FC776F">
        <w:instrText xml:space="preserve"> </w:instrText>
      </w:r>
      <w:r w:rsidR="00CA4DAB">
        <w:fldChar w:fldCharType="separate"/>
      </w:r>
      <w:r w:rsidR="00FC776F">
        <w:rPr>
          <w:noProof/>
        </w:rPr>
        <w:t>II</w:t>
      </w:r>
      <w:r w:rsidR="00CA4DAB">
        <w:fldChar w:fldCharType="end"/>
      </w:r>
      <w:r>
        <w:t>). Low SSC intensity</w:t>
      </w:r>
      <w:r w:rsidR="00C23139">
        <w:t xml:space="preserve"> was</w:t>
      </w:r>
      <w:r>
        <w:t xml:space="preserve"> derived from</w:t>
      </w:r>
      <w:r w:rsidR="00BF6772">
        <w:t xml:space="preserve"> decreased</w:t>
      </w:r>
      <w:r>
        <w:t xml:space="preserve"> </w:t>
      </w:r>
      <w:r w:rsidR="00C23139">
        <w:t>intracellular granularit</w:t>
      </w:r>
      <w:r w:rsidR="00BF6772">
        <w:t>ies</w:t>
      </w:r>
      <w:r w:rsidR="00C23139">
        <w:t xml:space="preserve"> and complexit</w:t>
      </w:r>
      <w:r w:rsidR="00BF6772">
        <w:t>ies</w:t>
      </w:r>
      <w:r w:rsidR="00EB4709">
        <w:t>, which indicated organelle damages. According to figure S</w:t>
      </w:r>
      <w:r w:rsidR="009B748F">
        <w:t>2</w:t>
      </w:r>
      <w:r w:rsidR="00EB4709">
        <w:t xml:space="preserve"> and S</w:t>
      </w:r>
      <w:r w:rsidR="009B748F">
        <w:t>4</w:t>
      </w:r>
      <w:r w:rsidR="00EB4709">
        <w:t xml:space="preserve">, after treated with 50 nm nanoparticles, </w:t>
      </w:r>
      <w:r w:rsidR="00095F7D">
        <w:t>small amounts of</w:t>
      </w:r>
      <w:r w:rsidR="006B4B76">
        <w:t xml:space="preserve"> cells presented low SSC intensit</w:t>
      </w:r>
      <w:r w:rsidR="00740B95">
        <w:t>ies</w:t>
      </w:r>
      <w:r w:rsidR="006B4B76">
        <w:t>, but the cell proportion</w:t>
      </w:r>
      <w:r w:rsidR="00740B95">
        <w:t>s</w:t>
      </w:r>
      <w:r w:rsidR="006B4B76">
        <w:t xml:space="preserve"> of low SSC intensit</w:t>
      </w:r>
      <w:r w:rsidR="00740B95">
        <w:t>ies</w:t>
      </w:r>
      <w:r w:rsidR="006B4B76">
        <w:t xml:space="preserve"> hardly changed from 8 h to 24 h, indicating that </w:t>
      </w:r>
      <w:r w:rsidR="00095F7D">
        <w:t>50 nm nanoparticle</w:t>
      </w:r>
      <w:r w:rsidR="00047F42">
        <w:t>s</w:t>
      </w:r>
      <w:r w:rsidR="00095F7D">
        <w:t xml:space="preserve"> did cause organelle damages, but the so-caused organelle damages was not </w:t>
      </w:r>
      <w:r w:rsidR="00095F7D">
        <w:lastRenderedPageBreak/>
        <w:t>strong nor d</w:t>
      </w:r>
      <w:r w:rsidR="00095F7D" w:rsidRPr="00095F7D">
        <w:t>eteriorat</w:t>
      </w:r>
      <w:r w:rsidR="00095F7D">
        <w:t xml:space="preserve">e. Differently, </w:t>
      </w:r>
      <w:r w:rsidR="009C7921">
        <w:t xml:space="preserve">200 nm nanoparticles </w:t>
      </w:r>
      <w:r w:rsidR="00FA7660">
        <w:t>caused more cells to reflect</w:t>
      </w:r>
      <w:r w:rsidR="009C7921">
        <w:t xml:space="preserve"> low</w:t>
      </w:r>
      <w:r w:rsidR="00FA7660">
        <w:t>-intense</w:t>
      </w:r>
      <w:r w:rsidR="009C7921">
        <w:t xml:space="preserve"> SSC, and the cell proportion</w:t>
      </w:r>
      <w:r w:rsidR="00FA7660">
        <w:t>s</w:t>
      </w:r>
      <w:r w:rsidR="009C7921">
        <w:t xml:space="preserve"> of low SSC intensit</w:t>
      </w:r>
      <w:r w:rsidR="00FA7660">
        <w:t>ies</w:t>
      </w:r>
      <w:r w:rsidR="009C7921">
        <w:t xml:space="preserve"> increased from 16 h to 24 h. The results suggested that </w:t>
      </w:r>
      <w:r w:rsidR="00D10AB8">
        <w:t xml:space="preserve">200 nm nanoparticles caused more organelle damages and these organelle damages kept worsening from 16 h to 24 h. </w:t>
      </w:r>
    </w:p>
    <w:p w:rsidR="00FC776F" w:rsidRDefault="00FC776F" w:rsidP="00FC776F">
      <w:pPr>
        <w:spacing w:line="360" w:lineRule="auto"/>
      </w:pPr>
    </w:p>
    <w:p w:rsidR="00FC776F" w:rsidRDefault="002F15E9" w:rsidP="0048610D">
      <w:pPr>
        <w:spacing w:line="360" w:lineRule="auto"/>
        <w:jc w:val="center"/>
      </w:pPr>
      <w:r>
        <w:rPr>
          <w:noProof/>
        </w:rPr>
        <w:drawing>
          <wp:inline distT="0" distB="0" distL="0" distR="0">
            <wp:extent cx="4035972" cy="3180745"/>
            <wp:effectExtent l="0" t="0" r="0" b="0"/>
            <wp:docPr id="5"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S3.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035204" cy="3180140"/>
                    </a:xfrm>
                    <a:prstGeom prst="rect">
                      <a:avLst/>
                    </a:prstGeom>
                  </pic:spPr>
                </pic:pic>
              </a:graphicData>
            </a:graphic>
          </wp:inline>
        </w:drawing>
      </w:r>
    </w:p>
    <w:p w:rsidR="00FC776F" w:rsidRPr="00906FFF" w:rsidRDefault="00FC776F" w:rsidP="00FC776F">
      <w:pPr>
        <w:spacing w:line="360" w:lineRule="auto"/>
      </w:pPr>
      <w:r>
        <w:t>Figure S</w:t>
      </w:r>
      <w:r w:rsidR="009B748F">
        <w:t>4</w:t>
      </w:r>
      <w:r>
        <w:t>. The proportions of cells with low SSC intensities after cells were treated with 50 nm and 200 nm nanoparticles.</w:t>
      </w:r>
    </w:p>
    <w:p w:rsidR="00FC776F" w:rsidRDefault="00FC776F" w:rsidP="00A64907">
      <w:pPr>
        <w:spacing w:line="360" w:lineRule="auto"/>
        <w:rPr>
          <w:b/>
          <w:bCs/>
        </w:rPr>
      </w:pPr>
    </w:p>
    <w:p w:rsidR="00F65D0E" w:rsidRPr="00E75D26" w:rsidRDefault="00F65D0E" w:rsidP="00A64907">
      <w:pPr>
        <w:spacing w:line="360" w:lineRule="auto"/>
        <w:rPr>
          <w:b/>
          <w:bCs/>
        </w:rPr>
      </w:pPr>
      <w:r w:rsidRPr="00E75D26">
        <w:rPr>
          <w:b/>
          <w:bCs/>
        </w:rPr>
        <w:t>Animal Experiments</w:t>
      </w:r>
    </w:p>
    <w:p w:rsidR="00E75D26" w:rsidRDefault="00977926" w:rsidP="00A64907">
      <w:pPr>
        <w:spacing w:line="360" w:lineRule="auto"/>
      </w:pPr>
      <w:bookmarkStart w:id="2" w:name="_Hlk75208722"/>
      <w:r>
        <w:t>Zebrafish</w:t>
      </w:r>
      <w:r w:rsidR="00F65D0E">
        <w:t xml:space="preserve"> eggs were co-cultured with 50 nm and 200 nm nanoparticles for 48 h, and </w:t>
      </w:r>
      <w:r w:rsidR="007B2A0A">
        <w:t xml:space="preserve">then the </w:t>
      </w:r>
      <w:r>
        <w:t>zebrafish</w:t>
      </w:r>
      <w:r w:rsidR="007B2A0A">
        <w:t xml:space="preserve"> eggs were observed under SEM (Figure S</w:t>
      </w:r>
      <w:r w:rsidR="00324EE3">
        <w:t>5</w:t>
      </w:r>
      <w:r w:rsidR="007B2A0A">
        <w:t>).</w:t>
      </w:r>
      <w:bookmarkEnd w:id="2"/>
      <w:r w:rsidR="007B2A0A">
        <w:t xml:space="preserve"> Figure S</w:t>
      </w:r>
      <w:r w:rsidR="006276E4">
        <w:t>5</w:t>
      </w:r>
      <w:r w:rsidR="007B2A0A">
        <w:t xml:space="preserve">a presented that 50 nm nanoparticles could </w:t>
      </w:r>
      <w:r w:rsidR="00E75D26">
        <w:t>attach to</w:t>
      </w:r>
      <w:r w:rsidR="007B2A0A">
        <w:t xml:space="preserve"> the surface of </w:t>
      </w:r>
      <w:r>
        <w:t>zebrafish</w:t>
      </w:r>
      <w:r w:rsidR="007B2A0A">
        <w:t xml:space="preserve"> eggs</w:t>
      </w:r>
      <w:r w:rsidR="001F20C7">
        <w:t xml:space="preserve"> but </w:t>
      </w:r>
      <w:r w:rsidR="0004635C">
        <w:t>had little</w:t>
      </w:r>
      <w:r w:rsidR="001F20C7">
        <w:t xml:space="preserve"> interactions with </w:t>
      </w:r>
      <w:r>
        <w:t>zebrafish</w:t>
      </w:r>
      <w:r w:rsidR="001F20C7">
        <w:t xml:space="preserve"> eggs. </w:t>
      </w:r>
      <w:r w:rsidR="00B513F6">
        <w:t xml:space="preserve">And the </w:t>
      </w:r>
      <w:r>
        <w:t>zebrafish</w:t>
      </w:r>
      <w:r w:rsidR="00B513F6">
        <w:t xml:space="preserve"> eggs</w:t>
      </w:r>
      <w:r w:rsidR="00E75D26">
        <w:t xml:space="preserve"> hardly lost their contents </w:t>
      </w:r>
      <w:r w:rsidR="00B513F6">
        <w:t>after treated with 50 nm nanoparticles (figure S</w:t>
      </w:r>
      <w:r w:rsidR="009B748F">
        <w:t>6</w:t>
      </w:r>
      <w:r w:rsidR="00B513F6">
        <w:t>b)</w:t>
      </w:r>
      <w:r w:rsidR="00E75D26">
        <w:t xml:space="preserve">, indicating that 50 nm nanoparticles did not present strong toxicities to </w:t>
      </w:r>
      <w:r>
        <w:t>zebrafish</w:t>
      </w:r>
      <w:r w:rsidR="00E75D26">
        <w:t xml:space="preserve"> embryos</w:t>
      </w:r>
      <w:r w:rsidR="00B513F6">
        <w:t xml:space="preserve">. </w:t>
      </w:r>
      <w:r w:rsidR="00C54017">
        <w:t xml:space="preserve">Differently, 200 nm nanoparticles </w:t>
      </w:r>
      <w:r w:rsidR="00E75D26">
        <w:t xml:space="preserve">not only attached to the </w:t>
      </w:r>
      <w:r>
        <w:t>zebrafish</w:t>
      </w:r>
      <w:r w:rsidR="00E75D26">
        <w:t xml:space="preserve"> eggs but also interacted with </w:t>
      </w:r>
      <w:r w:rsidR="00760CEF">
        <w:t xml:space="preserve">the </w:t>
      </w:r>
      <w:r w:rsidR="00E75D26">
        <w:t>egg membrane (</w:t>
      </w:r>
      <w:r w:rsidR="00C02257">
        <w:t xml:space="preserve">blue circles in </w:t>
      </w:r>
      <w:r w:rsidR="00E75D26">
        <w:t>figure S</w:t>
      </w:r>
      <w:r w:rsidR="009B748F">
        <w:t>6</w:t>
      </w:r>
      <w:r w:rsidR="00E75D26">
        <w:t>c). Simultaneously, the</w:t>
      </w:r>
      <w:r w:rsidR="007B2606" w:rsidRPr="007B2606">
        <w:t xml:space="preserve"> </w:t>
      </w:r>
      <w:r w:rsidR="007B2606">
        <w:t>o</w:t>
      </w:r>
      <w:r w:rsidR="007B2606" w:rsidRPr="007B2606">
        <w:t xml:space="preserve">bvious </w:t>
      </w:r>
      <w:r w:rsidR="007B2606" w:rsidRPr="007B2606">
        <w:lastRenderedPageBreak/>
        <w:t>shrinkage</w:t>
      </w:r>
      <w:r w:rsidR="00E75D26">
        <w:t xml:space="preserve"> </w:t>
      </w:r>
      <w:r w:rsidR="007B2606">
        <w:t xml:space="preserve">of </w:t>
      </w:r>
      <w:r>
        <w:t>zebrafish</w:t>
      </w:r>
      <w:r w:rsidR="00E75D26">
        <w:t xml:space="preserve"> eggs </w:t>
      </w:r>
      <w:r w:rsidR="007B2606">
        <w:t xml:space="preserve">can be found after </w:t>
      </w:r>
      <w:r w:rsidR="00E75D26">
        <w:t>affected by 200 nm nanoparticles</w:t>
      </w:r>
      <w:r w:rsidR="007B2606">
        <w:t xml:space="preserve"> and images show that they</w:t>
      </w:r>
      <w:r w:rsidR="00E75D26">
        <w:t xml:space="preserve"> lose their contents</w:t>
      </w:r>
      <w:r w:rsidR="007B2606">
        <w:t xml:space="preserve">. Results </w:t>
      </w:r>
      <w:r w:rsidR="00E75D26">
        <w:t>indicat</w:t>
      </w:r>
      <w:r w:rsidR="007B2606">
        <w:t>ed</w:t>
      </w:r>
      <w:r w:rsidR="00E75D26">
        <w:t xml:space="preserve"> that 200 nm nanoparticles harmed the </w:t>
      </w:r>
      <w:r>
        <w:t>zebrafish</w:t>
      </w:r>
      <w:r w:rsidR="0004635C">
        <w:t xml:space="preserve"> embryos potently.</w:t>
      </w:r>
    </w:p>
    <w:p w:rsidR="006276E4" w:rsidRDefault="006276E4" w:rsidP="00A64907">
      <w:pPr>
        <w:spacing w:line="360" w:lineRule="auto"/>
      </w:pPr>
    </w:p>
    <w:p w:rsidR="006276E4" w:rsidRDefault="006276E4" w:rsidP="00A64907">
      <w:pPr>
        <w:spacing w:line="360" w:lineRule="auto"/>
      </w:pPr>
      <w:r>
        <w:rPr>
          <w:noProof/>
        </w:rPr>
        <w:drawing>
          <wp:inline distT="0" distB="0" distL="0" distR="0">
            <wp:extent cx="5760720" cy="5431536"/>
            <wp:effectExtent l="0" t="0" r="0" b="0"/>
            <wp:docPr id="3" name="Picture 3" descr="A picture containing photo, different, items, variou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5.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5431536"/>
                    </a:xfrm>
                    <a:prstGeom prst="rect">
                      <a:avLst/>
                    </a:prstGeom>
                  </pic:spPr>
                </pic:pic>
              </a:graphicData>
            </a:graphic>
          </wp:inline>
        </w:drawing>
      </w:r>
    </w:p>
    <w:p w:rsidR="006276E4" w:rsidRDefault="006276E4" w:rsidP="00A64907">
      <w:pPr>
        <w:spacing w:line="360" w:lineRule="auto"/>
      </w:pPr>
      <w:r>
        <w:t>F</w:t>
      </w:r>
      <w:r>
        <w:rPr>
          <w:rFonts w:hint="eastAsia"/>
        </w:rPr>
        <w:t>igure</w:t>
      </w:r>
      <w:r>
        <w:t xml:space="preserve"> S</w:t>
      </w:r>
      <w:r w:rsidR="00324EE3">
        <w:t>5</w:t>
      </w:r>
      <w:r>
        <w:t xml:space="preserve">. (a) 50 nm and (c) 200 nm sulfhydride nanoparticles on zebrafish eggs. Blue circles labeled the interactions between 200 nm nanoparticles and zebrafish egg membrane. </w:t>
      </w:r>
      <w:r w:rsidR="007B2606">
        <w:rPr>
          <w:rFonts w:hint="eastAsia"/>
        </w:rPr>
        <w:t>Z</w:t>
      </w:r>
      <w:r>
        <w:t>ebrafish eggs were cut to present their inner contents after treated with</w:t>
      </w:r>
      <w:r w:rsidR="007B2606">
        <w:t xml:space="preserve"> </w:t>
      </w:r>
      <w:r w:rsidR="007B2606">
        <w:rPr>
          <w:rFonts w:hint="eastAsia"/>
        </w:rPr>
        <w:t>nanoparticles,</w:t>
      </w:r>
      <w:r>
        <w:t xml:space="preserve"> (b)</w:t>
      </w:r>
      <w:r w:rsidR="007B2606">
        <w:t xml:space="preserve"> treated with</w:t>
      </w:r>
      <w:r>
        <w:t xml:space="preserve"> 50 nm </w:t>
      </w:r>
      <w:r w:rsidR="007B2606">
        <w:rPr>
          <w:rFonts w:hint="eastAsia"/>
        </w:rPr>
        <w:t>nanoparticles</w:t>
      </w:r>
      <w:r w:rsidR="007B2606">
        <w:t xml:space="preserve"> </w:t>
      </w:r>
      <w:r>
        <w:t>and (</w:t>
      </w:r>
      <w:r w:rsidR="007B2606">
        <w:rPr>
          <w:rFonts w:hint="eastAsia"/>
        </w:rPr>
        <w:t>d</w:t>
      </w:r>
      <w:r>
        <w:t xml:space="preserve">) </w:t>
      </w:r>
      <w:r w:rsidR="007B2606">
        <w:t xml:space="preserve">treated with </w:t>
      </w:r>
      <w:r>
        <w:t>200 nm nanoparticles.</w:t>
      </w:r>
    </w:p>
    <w:p w:rsidR="00BF6772" w:rsidRDefault="00BF6772" w:rsidP="00A64907">
      <w:pPr>
        <w:spacing w:line="360" w:lineRule="auto"/>
      </w:pPr>
    </w:p>
    <w:p w:rsidR="00BF6772" w:rsidRPr="00BF6772" w:rsidRDefault="00BF6772" w:rsidP="00A64907">
      <w:pPr>
        <w:spacing w:line="360" w:lineRule="auto"/>
        <w:rPr>
          <w:b/>
          <w:bCs/>
        </w:rPr>
      </w:pPr>
      <w:r w:rsidRPr="00BF6772">
        <w:rPr>
          <w:b/>
          <w:bCs/>
        </w:rPr>
        <w:lastRenderedPageBreak/>
        <w:t>Reference</w:t>
      </w:r>
    </w:p>
    <w:p w:rsidR="00BF6772" w:rsidRDefault="00BF6772" w:rsidP="00BF6772">
      <w:pPr>
        <w:spacing w:line="360" w:lineRule="auto"/>
      </w:pPr>
      <w:r>
        <w:t xml:space="preserve">[1] C-L. Luo, Y-Q. Liu, P. Wang, C-H. Song, K-J. Wang, L-P. Dai, J-Y Zhang, H. Ye, </w:t>
      </w:r>
      <w:proofErr w:type="gramStart"/>
      <w:r w:rsidRPr="00BF6772">
        <w:t>The</w:t>
      </w:r>
      <w:proofErr w:type="gramEnd"/>
      <w:r w:rsidRPr="00BF6772">
        <w:t xml:space="preserve"> </w:t>
      </w:r>
      <w:r>
        <w:t>e</w:t>
      </w:r>
      <w:r w:rsidRPr="00BF6772">
        <w:t xml:space="preserve">ffect of </w:t>
      </w:r>
      <w:r>
        <w:t>q</w:t>
      </w:r>
      <w:r w:rsidRPr="00BF6772">
        <w:t xml:space="preserve">uercetin </w:t>
      </w:r>
      <w:r>
        <w:t>n</w:t>
      </w:r>
      <w:r w:rsidRPr="00BF6772">
        <w:t xml:space="preserve">anoparticle on </w:t>
      </w:r>
      <w:r>
        <w:t>c</w:t>
      </w:r>
      <w:r w:rsidRPr="00BF6772">
        <w:t xml:space="preserve">ervical </w:t>
      </w:r>
      <w:r>
        <w:t>c</w:t>
      </w:r>
      <w:r w:rsidRPr="00BF6772">
        <w:t xml:space="preserve">ancer </w:t>
      </w:r>
      <w:r>
        <w:t>p</w:t>
      </w:r>
      <w:r w:rsidRPr="00BF6772">
        <w:t xml:space="preserve">rogression by </w:t>
      </w:r>
      <w:r>
        <w:t>i</w:t>
      </w:r>
      <w:r w:rsidRPr="00BF6772">
        <w:t xml:space="preserve">nducing </w:t>
      </w:r>
      <w:r>
        <w:t>ap</w:t>
      </w:r>
      <w:r w:rsidRPr="00BF6772">
        <w:t xml:space="preserve">optosis, </w:t>
      </w:r>
      <w:r>
        <w:t>a</w:t>
      </w:r>
      <w:r w:rsidRPr="00BF6772">
        <w:t xml:space="preserve">utophagy and </w:t>
      </w:r>
      <w:r>
        <w:t>a</w:t>
      </w:r>
      <w:r w:rsidRPr="00BF6772">
        <w:t>nti-</w:t>
      </w:r>
      <w:r>
        <w:t>p</w:t>
      </w:r>
      <w:r w:rsidRPr="00BF6772">
        <w:t xml:space="preserve">roliferation via JAK2 </w:t>
      </w:r>
      <w:r>
        <w:t>s</w:t>
      </w:r>
      <w:r w:rsidRPr="00BF6772">
        <w:t>uppression</w:t>
      </w:r>
      <w:r>
        <w:t xml:space="preserve">. Biomed. Pharmacother. 82 </w:t>
      </w:r>
      <w:r>
        <w:rPr>
          <w:rFonts w:hint="eastAsia"/>
        </w:rPr>
        <w:t>(</w:t>
      </w:r>
      <w:r>
        <w:t>2016), 595-605. http://doi.org/</w:t>
      </w:r>
      <w:r w:rsidRPr="00BF6772">
        <w:t xml:space="preserve"> 10.1016/j.biopha.2016.05.029</w:t>
      </w:r>
      <w:r>
        <w:t xml:space="preserve">. </w:t>
      </w:r>
    </w:p>
    <w:sectPr w:rsidR="00BF6772" w:rsidSect="00464C9D">
      <w:pgSz w:w="12240" w:h="15840"/>
      <w:pgMar w:top="1440" w:right="1440" w:bottom="1440" w:left="144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22AD" w:rsidRDefault="00E422AD" w:rsidP="0030581C">
      <w:r>
        <w:separator/>
      </w:r>
    </w:p>
  </w:endnote>
  <w:endnote w:type="continuationSeparator" w:id="0">
    <w:p w:rsidR="00E422AD" w:rsidRDefault="00E422AD" w:rsidP="003058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22AD" w:rsidRDefault="00E422AD" w:rsidP="0030581C">
      <w:r>
        <w:separator/>
      </w:r>
    </w:p>
  </w:footnote>
  <w:footnote w:type="continuationSeparator" w:id="0">
    <w:p w:rsidR="00E422AD" w:rsidRDefault="00E422AD" w:rsidP="003058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MTAysTQzNbU0NTUztzRQ0lEKTi0uzszPAykwrQUAkf/TGiwAAAA="/>
  </w:docVars>
  <w:rsids>
    <w:rsidRoot w:val="006B273A"/>
    <w:rsid w:val="000074AC"/>
    <w:rsid w:val="00016322"/>
    <w:rsid w:val="00021397"/>
    <w:rsid w:val="0004635C"/>
    <w:rsid w:val="00047F42"/>
    <w:rsid w:val="00095F7D"/>
    <w:rsid w:val="001671F5"/>
    <w:rsid w:val="001E5415"/>
    <w:rsid w:val="001E6101"/>
    <w:rsid w:val="001F20C7"/>
    <w:rsid w:val="00241B82"/>
    <w:rsid w:val="00270C33"/>
    <w:rsid w:val="002A740A"/>
    <w:rsid w:val="002C2A54"/>
    <w:rsid w:val="002F15E9"/>
    <w:rsid w:val="0030581C"/>
    <w:rsid w:val="00324EE3"/>
    <w:rsid w:val="00365741"/>
    <w:rsid w:val="0037232B"/>
    <w:rsid w:val="003A4CEF"/>
    <w:rsid w:val="00414C49"/>
    <w:rsid w:val="00445112"/>
    <w:rsid w:val="00464C9D"/>
    <w:rsid w:val="00466B1F"/>
    <w:rsid w:val="0048610D"/>
    <w:rsid w:val="004958A5"/>
    <w:rsid w:val="005D5815"/>
    <w:rsid w:val="006276E4"/>
    <w:rsid w:val="006500EC"/>
    <w:rsid w:val="00676DA9"/>
    <w:rsid w:val="00690E02"/>
    <w:rsid w:val="006B273A"/>
    <w:rsid w:val="006B4B76"/>
    <w:rsid w:val="006C171F"/>
    <w:rsid w:val="006D5DCE"/>
    <w:rsid w:val="006E00A0"/>
    <w:rsid w:val="00740B95"/>
    <w:rsid w:val="00760CEF"/>
    <w:rsid w:val="00767D02"/>
    <w:rsid w:val="007B2606"/>
    <w:rsid w:val="007B2A0A"/>
    <w:rsid w:val="007B736A"/>
    <w:rsid w:val="007F4C8E"/>
    <w:rsid w:val="007F7BB1"/>
    <w:rsid w:val="00804DC0"/>
    <w:rsid w:val="00860796"/>
    <w:rsid w:val="008D1250"/>
    <w:rsid w:val="00906FFF"/>
    <w:rsid w:val="009330B8"/>
    <w:rsid w:val="00940065"/>
    <w:rsid w:val="00952951"/>
    <w:rsid w:val="00977926"/>
    <w:rsid w:val="00984398"/>
    <w:rsid w:val="00993BA9"/>
    <w:rsid w:val="009B3F0D"/>
    <w:rsid w:val="009B748F"/>
    <w:rsid w:val="009C0242"/>
    <w:rsid w:val="009C7921"/>
    <w:rsid w:val="009F4864"/>
    <w:rsid w:val="00A06657"/>
    <w:rsid w:val="00A27173"/>
    <w:rsid w:val="00A544D9"/>
    <w:rsid w:val="00A60484"/>
    <w:rsid w:val="00A64183"/>
    <w:rsid w:val="00A64907"/>
    <w:rsid w:val="00A72645"/>
    <w:rsid w:val="00AE2695"/>
    <w:rsid w:val="00B157B5"/>
    <w:rsid w:val="00B513F6"/>
    <w:rsid w:val="00B80784"/>
    <w:rsid w:val="00B87EA1"/>
    <w:rsid w:val="00BB7D88"/>
    <w:rsid w:val="00BF2D22"/>
    <w:rsid w:val="00BF3893"/>
    <w:rsid w:val="00BF6772"/>
    <w:rsid w:val="00C02257"/>
    <w:rsid w:val="00C23139"/>
    <w:rsid w:val="00C34C23"/>
    <w:rsid w:val="00C54017"/>
    <w:rsid w:val="00C8652A"/>
    <w:rsid w:val="00CA4DAB"/>
    <w:rsid w:val="00CC7415"/>
    <w:rsid w:val="00D10AB8"/>
    <w:rsid w:val="00D249A9"/>
    <w:rsid w:val="00D80C9B"/>
    <w:rsid w:val="00D90A97"/>
    <w:rsid w:val="00D95F19"/>
    <w:rsid w:val="00DF3651"/>
    <w:rsid w:val="00E310A5"/>
    <w:rsid w:val="00E34A45"/>
    <w:rsid w:val="00E422AD"/>
    <w:rsid w:val="00E75D26"/>
    <w:rsid w:val="00EB4709"/>
    <w:rsid w:val="00EE37F9"/>
    <w:rsid w:val="00F0481F"/>
    <w:rsid w:val="00F65D0E"/>
    <w:rsid w:val="00F94C52"/>
    <w:rsid w:val="00FA0562"/>
    <w:rsid w:val="00FA6E40"/>
    <w:rsid w:val="00FA7660"/>
    <w:rsid w:val="00FC776F"/>
    <w:rsid w:val="00FD6FC1"/>
    <w:rsid w:val="00FE28D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607E99"/>
  <w15:docId w15:val="{E01D89FE-89DD-41AF-900F-7392BBA09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华文宋体" w:hAnsi="Times New Roman" w:cstheme="minorBidi"/>
        <w:kern w:val="2"/>
        <w:sz w:val="24"/>
        <w:szCs w:val="24"/>
        <w:lang w:val="en-US" w:eastAsia="zh-CN" w:bidi="ar-SA"/>
      </w:rPr>
    </w:rPrDefault>
    <w:pPrDefault>
      <w:pPr>
        <w:widowControl w:val="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B273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581C"/>
    <w:pPr>
      <w:tabs>
        <w:tab w:val="center" w:pos="4320"/>
        <w:tab w:val="right" w:pos="8640"/>
      </w:tabs>
    </w:pPr>
  </w:style>
  <w:style w:type="character" w:customStyle="1" w:styleId="a4">
    <w:name w:val="页眉 字符"/>
    <w:basedOn w:val="a0"/>
    <w:link w:val="a3"/>
    <w:uiPriority w:val="99"/>
    <w:rsid w:val="0030581C"/>
  </w:style>
  <w:style w:type="paragraph" w:styleId="a5">
    <w:name w:val="footer"/>
    <w:basedOn w:val="a"/>
    <w:link w:val="a6"/>
    <w:uiPriority w:val="99"/>
    <w:unhideWhenUsed/>
    <w:rsid w:val="0030581C"/>
    <w:pPr>
      <w:tabs>
        <w:tab w:val="center" w:pos="4320"/>
        <w:tab w:val="right" w:pos="8640"/>
      </w:tabs>
    </w:pPr>
  </w:style>
  <w:style w:type="character" w:customStyle="1" w:styleId="a6">
    <w:name w:val="页脚 字符"/>
    <w:basedOn w:val="a0"/>
    <w:link w:val="a5"/>
    <w:uiPriority w:val="99"/>
    <w:rsid w:val="0030581C"/>
  </w:style>
  <w:style w:type="character" w:styleId="a7">
    <w:name w:val="annotation reference"/>
    <w:basedOn w:val="a0"/>
    <w:uiPriority w:val="99"/>
    <w:semiHidden/>
    <w:unhideWhenUsed/>
    <w:rsid w:val="00767D02"/>
    <w:rPr>
      <w:sz w:val="21"/>
      <w:szCs w:val="21"/>
    </w:rPr>
  </w:style>
  <w:style w:type="paragraph" w:styleId="a8">
    <w:name w:val="annotation text"/>
    <w:basedOn w:val="a"/>
    <w:link w:val="a9"/>
    <w:uiPriority w:val="99"/>
    <w:semiHidden/>
    <w:unhideWhenUsed/>
    <w:rsid w:val="00767D02"/>
    <w:pPr>
      <w:jc w:val="left"/>
    </w:pPr>
  </w:style>
  <w:style w:type="character" w:customStyle="1" w:styleId="a9">
    <w:name w:val="批注文字 字符"/>
    <w:basedOn w:val="a0"/>
    <w:link w:val="a8"/>
    <w:uiPriority w:val="99"/>
    <w:semiHidden/>
    <w:rsid w:val="00767D02"/>
  </w:style>
  <w:style w:type="paragraph" w:styleId="aa">
    <w:name w:val="annotation subject"/>
    <w:basedOn w:val="a8"/>
    <w:next w:val="a8"/>
    <w:link w:val="ab"/>
    <w:uiPriority w:val="99"/>
    <w:semiHidden/>
    <w:unhideWhenUsed/>
    <w:rsid w:val="00767D02"/>
    <w:rPr>
      <w:b/>
      <w:bCs/>
    </w:rPr>
  </w:style>
  <w:style w:type="character" w:customStyle="1" w:styleId="ab">
    <w:name w:val="批注主题 字符"/>
    <w:basedOn w:val="a9"/>
    <w:link w:val="aa"/>
    <w:uiPriority w:val="99"/>
    <w:semiHidden/>
    <w:rsid w:val="00767D02"/>
    <w:rPr>
      <w:b/>
      <w:bCs/>
    </w:rPr>
  </w:style>
  <w:style w:type="paragraph" w:styleId="ac">
    <w:name w:val="Balloon Text"/>
    <w:basedOn w:val="a"/>
    <w:link w:val="ad"/>
    <w:uiPriority w:val="99"/>
    <w:semiHidden/>
    <w:unhideWhenUsed/>
    <w:rsid w:val="00767D02"/>
    <w:rPr>
      <w:sz w:val="18"/>
      <w:szCs w:val="18"/>
    </w:rPr>
  </w:style>
  <w:style w:type="character" w:customStyle="1" w:styleId="ad">
    <w:name w:val="批注框文本 字符"/>
    <w:basedOn w:val="a0"/>
    <w:link w:val="ac"/>
    <w:uiPriority w:val="99"/>
    <w:semiHidden/>
    <w:rsid w:val="00767D0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461648">
      <w:bodyDiv w:val="1"/>
      <w:marLeft w:val="0"/>
      <w:marRight w:val="0"/>
      <w:marTop w:val="0"/>
      <w:marBottom w:val="0"/>
      <w:divBdr>
        <w:top w:val="none" w:sz="0" w:space="0" w:color="auto"/>
        <w:left w:val="none" w:sz="0" w:space="0" w:color="auto"/>
        <w:bottom w:val="none" w:sz="0" w:space="0" w:color="auto"/>
        <w:right w:val="none" w:sz="0" w:space="0" w:color="auto"/>
      </w:divBdr>
    </w:div>
    <w:div w:id="1327200634">
      <w:bodyDiv w:val="1"/>
      <w:marLeft w:val="0"/>
      <w:marRight w:val="0"/>
      <w:marTop w:val="0"/>
      <w:marBottom w:val="0"/>
      <w:divBdr>
        <w:top w:val="none" w:sz="0" w:space="0" w:color="auto"/>
        <w:left w:val="none" w:sz="0" w:space="0" w:color="auto"/>
        <w:bottom w:val="none" w:sz="0" w:space="0" w:color="auto"/>
        <w:right w:val="none" w:sz="0" w:space="0" w:color="auto"/>
      </w:divBdr>
      <w:divsChild>
        <w:div w:id="1498153689">
          <w:marLeft w:val="0"/>
          <w:marRight w:val="0"/>
          <w:marTop w:val="0"/>
          <w:marBottom w:val="0"/>
          <w:divBdr>
            <w:top w:val="none" w:sz="0" w:space="0" w:color="auto"/>
            <w:left w:val="none" w:sz="0" w:space="0" w:color="auto"/>
            <w:bottom w:val="none" w:sz="0" w:space="0" w:color="auto"/>
            <w:right w:val="none" w:sz="0" w:space="0" w:color="auto"/>
          </w:divBdr>
          <w:divsChild>
            <w:div w:id="91228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image" Target="media/image6.tif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5.gi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gif"/><Relationship Id="rId4" Type="http://schemas.openxmlformats.org/officeDocument/2006/relationships/footnotes" Target="footnotes.xml"/><Relationship Id="rId9" Type="http://schemas.openxmlformats.org/officeDocument/2006/relationships/image" Target="media/image3.gif"/><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600</TotalTime>
  <Pages>9</Pages>
  <Words>1557</Words>
  <Characters>8877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 Guanwen</dc:creator>
  <cp:keywords/>
  <dc:description/>
  <cp:lastModifiedBy>Ting Wang</cp:lastModifiedBy>
  <cp:revision>52</cp:revision>
  <dcterms:created xsi:type="dcterms:W3CDTF">2020-04-25T07:04:00Z</dcterms:created>
  <dcterms:modified xsi:type="dcterms:W3CDTF">2021-07-06T14:37:00Z</dcterms:modified>
</cp:coreProperties>
</file>