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E23E4" w14:textId="77777777" w:rsidR="00ED752C" w:rsidRDefault="00ED752C" w:rsidP="00ED752C">
      <w:pPr>
        <w:spacing w:after="0" w:line="480" w:lineRule="auto"/>
        <w:rPr>
          <w:rFonts w:ascii="Arial" w:hAnsi="Arial" w:cs="Arial"/>
        </w:rPr>
      </w:pPr>
      <w:r w:rsidRPr="13231772">
        <w:rPr>
          <w:rFonts w:ascii="Arial" w:hAnsi="Arial" w:cs="Arial"/>
          <w:b/>
          <w:bCs/>
        </w:rPr>
        <w:t>Supplementary Materials</w:t>
      </w:r>
    </w:p>
    <w:p w14:paraId="0DB39190" w14:textId="77777777" w:rsidR="00ED752C" w:rsidRDefault="00ED752C" w:rsidP="00ED752C">
      <w:pPr>
        <w:spacing w:after="0" w:line="480" w:lineRule="auto"/>
        <w:rPr>
          <w:rFonts w:ascii="Arial" w:hAnsi="Arial" w:cs="Arial"/>
          <w:b/>
          <w:bCs/>
          <w:i/>
          <w:iCs/>
        </w:rPr>
      </w:pPr>
    </w:p>
    <w:p w14:paraId="3CE3E97A" w14:textId="77777777" w:rsidR="00ED752C" w:rsidRPr="00FF1D8F" w:rsidRDefault="00ED752C" w:rsidP="00ED752C">
      <w:pPr>
        <w:spacing w:after="0" w:line="480" w:lineRule="auto"/>
        <w:rPr>
          <w:rFonts w:ascii="Arial" w:hAnsi="Arial" w:cs="Arial"/>
          <w:b/>
          <w:bCs/>
          <w:i/>
          <w:iCs/>
        </w:rPr>
      </w:pPr>
      <w:r w:rsidRPr="13231772">
        <w:rPr>
          <w:rFonts w:ascii="Arial" w:hAnsi="Arial" w:cs="Arial"/>
          <w:b/>
          <w:bCs/>
          <w:i/>
          <w:iCs/>
        </w:rPr>
        <w:t>Supp. Figures:</w:t>
      </w:r>
    </w:p>
    <w:p w14:paraId="0E80C597" w14:textId="77777777" w:rsidR="00ED752C" w:rsidRPr="00FF1D8F" w:rsidRDefault="00ED752C" w:rsidP="00ED752C">
      <w:pPr>
        <w:spacing w:after="0" w:line="480" w:lineRule="auto"/>
        <w:rPr>
          <w:rFonts w:ascii="Arial" w:hAnsi="Arial" w:cs="Arial"/>
        </w:rPr>
      </w:pPr>
      <w:r w:rsidRPr="13231772">
        <w:rPr>
          <w:rFonts w:ascii="Arial" w:hAnsi="Arial" w:cs="Arial"/>
        </w:rPr>
        <w:t>Supp. Fig. 1. Boxplot of the number of days on Azithromycin for each participant by trajectory group.</w:t>
      </w:r>
    </w:p>
    <w:p w14:paraId="7D28E447" w14:textId="77777777" w:rsidR="00ED752C" w:rsidRPr="00FF1D8F" w:rsidRDefault="00ED752C" w:rsidP="00ED752C">
      <w:pPr>
        <w:spacing w:after="0" w:line="480" w:lineRule="auto"/>
        <w:rPr>
          <w:rFonts w:ascii="Arial" w:hAnsi="Arial" w:cs="Arial"/>
        </w:rPr>
      </w:pPr>
      <w:r w:rsidRPr="13231772">
        <w:rPr>
          <w:rFonts w:ascii="Arial" w:hAnsi="Arial" w:cs="Arial"/>
        </w:rPr>
        <w:t>Supp. Fig. 2. Generalized additive mixed model of total bacterial reads per million in nasal swab samples by days of azithromycin usage.</w:t>
      </w:r>
    </w:p>
    <w:p w14:paraId="24CA815D" w14:textId="77777777" w:rsidR="00ED752C" w:rsidRPr="00FF1D8F" w:rsidRDefault="00ED752C" w:rsidP="00ED752C">
      <w:pPr>
        <w:spacing w:after="0" w:line="480" w:lineRule="auto"/>
        <w:rPr>
          <w:rFonts w:ascii="Arial" w:hAnsi="Arial" w:cs="Arial"/>
        </w:rPr>
      </w:pPr>
      <w:r w:rsidRPr="13231772">
        <w:rPr>
          <w:rFonts w:ascii="Arial" w:hAnsi="Arial" w:cs="Arial"/>
        </w:rPr>
        <w:t>Supp. Fig. 3. SARS-CoV-2 Nasal Reads per million in samples ≤2 days on Azithromycin and after 4-6 days on Azithromycin shows no difference in rate of viral clearance.</w:t>
      </w:r>
    </w:p>
    <w:p w14:paraId="07D19326" w14:textId="77777777" w:rsidR="00ED752C" w:rsidRDefault="00ED752C" w:rsidP="00ED752C">
      <w:pPr>
        <w:spacing w:after="0" w:line="480" w:lineRule="auto"/>
        <w:rPr>
          <w:rFonts w:ascii="Arial" w:hAnsi="Arial" w:cs="Arial"/>
        </w:rPr>
      </w:pPr>
      <w:r w:rsidRPr="13231772">
        <w:rPr>
          <w:rFonts w:ascii="Arial" w:hAnsi="Arial" w:cs="Arial"/>
        </w:rPr>
        <w:t>Supp. Fig. 4. Number of detectably expressed MLS ARGs and percent of resistome attributed to the MLS ARG class show no significant decrease after cessation of Azithromycin.</w:t>
      </w:r>
    </w:p>
    <w:p w14:paraId="0E06BB6D" w14:textId="77777777" w:rsidR="00ED752C" w:rsidRDefault="00ED752C" w:rsidP="00ED752C">
      <w:pPr>
        <w:spacing w:after="0" w:line="480" w:lineRule="auto"/>
        <w:rPr>
          <w:rFonts w:ascii="Arial" w:hAnsi="Arial" w:cs="Arial"/>
          <w:b/>
          <w:bCs/>
          <w:i/>
          <w:iCs/>
        </w:rPr>
      </w:pPr>
    </w:p>
    <w:p w14:paraId="3350F4ED" w14:textId="77777777" w:rsidR="00ED752C" w:rsidRDefault="00ED752C" w:rsidP="00ED752C">
      <w:pPr>
        <w:rPr>
          <w:rFonts w:ascii="Arial" w:hAnsi="Arial" w:cs="Arial"/>
          <w:b/>
          <w:bCs/>
          <w:i/>
          <w:iCs/>
        </w:rPr>
      </w:pPr>
      <w:r>
        <w:rPr>
          <w:rFonts w:ascii="Arial" w:hAnsi="Arial" w:cs="Arial"/>
          <w:b/>
          <w:bCs/>
          <w:i/>
          <w:iCs/>
        </w:rPr>
        <w:br w:type="page"/>
      </w:r>
    </w:p>
    <w:p w14:paraId="43D10802" w14:textId="77777777" w:rsidR="00ED752C" w:rsidRPr="00B70436" w:rsidRDefault="00ED752C" w:rsidP="00ED752C">
      <w:pPr>
        <w:spacing w:after="2000" w:line="480" w:lineRule="auto"/>
        <w:rPr>
          <w:rFonts w:ascii="Arial" w:hAnsi="Arial" w:cs="Arial"/>
          <w:b/>
          <w:bCs/>
          <w:u w:val="single"/>
        </w:rPr>
      </w:pPr>
      <w:r w:rsidRPr="00B70436">
        <w:rPr>
          <w:rFonts w:ascii="Arial" w:hAnsi="Arial" w:cs="Arial"/>
          <w:b/>
          <w:bCs/>
          <w:u w:val="single"/>
        </w:rPr>
        <w:lastRenderedPageBreak/>
        <w:t>Supplementary Tables</w:t>
      </w:r>
    </w:p>
    <w:p w14:paraId="452CFB62" w14:textId="77777777" w:rsidR="00ED752C" w:rsidRDefault="00ED752C" w:rsidP="00ED752C">
      <w:pPr>
        <w:spacing w:after="0" w:line="480" w:lineRule="auto"/>
        <w:rPr>
          <w:rFonts w:ascii="Arial" w:hAnsi="Arial" w:cs="Arial"/>
        </w:rPr>
      </w:pPr>
      <w:r w:rsidRPr="00B70436">
        <w:rPr>
          <w:rFonts w:ascii="Arial" w:hAnsi="Arial" w:cs="Arial"/>
          <w:b/>
          <w:bCs/>
        </w:rPr>
        <w:t>Supp. Table 1</w:t>
      </w:r>
      <w:r w:rsidRPr="13231772">
        <w:rPr>
          <w:rFonts w:ascii="Arial" w:hAnsi="Arial" w:cs="Arial"/>
        </w:rPr>
        <w:t xml:space="preserve">. Cohort </w:t>
      </w:r>
      <w:r>
        <w:rPr>
          <w:rFonts w:ascii="Arial" w:hAnsi="Arial" w:cs="Arial"/>
        </w:rPr>
        <w:t>d</w:t>
      </w:r>
      <w:r w:rsidRPr="13231772">
        <w:rPr>
          <w:rFonts w:ascii="Arial" w:hAnsi="Arial" w:cs="Arial"/>
        </w:rPr>
        <w:t>emographics.</w:t>
      </w:r>
    </w:p>
    <w:p w14:paraId="69B4C374" w14:textId="77777777" w:rsidR="00ED752C" w:rsidRDefault="00ED752C" w:rsidP="00ED752C">
      <w:pPr>
        <w:spacing w:after="0" w:line="480" w:lineRule="auto"/>
        <w:rPr>
          <w:rFonts w:ascii="Arial" w:hAnsi="Arial" w:cs="Arial"/>
          <w:b/>
          <w:bCs/>
        </w:rPr>
      </w:pPr>
    </w:p>
    <w:p w14:paraId="56BB25B6" w14:textId="77777777" w:rsidR="00ED752C" w:rsidRPr="00B70436" w:rsidRDefault="00ED752C" w:rsidP="00ED752C">
      <w:pPr>
        <w:spacing w:after="0" w:line="480" w:lineRule="auto"/>
        <w:rPr>
          <w:rFonts w:ascii="Arial" w:hAnsi="Arial" w:cs="Arial"/>
        </w:rPr>
      </w:pPr>
      <w:r w:rsidRPr="00B70436">
        <w:rPr>
          <w:rFonts w:ascii="Arial" w:hAnsi="Arial" w:cs="Arial"/>
          <w:b/>
          <w:bCs/>
        </w:rPr>
        <w:t>Supp. Table 2</w:t>
      </w:r>
      <w:r w:rsidRPr="13231772">
        <w:rPr>
          <w:rFonts w:ascii="Arial" w:hAnsi="Arial" w:cs="Arial"/>
        </w:rPr>
        <w:t xml:space="preserve">. Antibiotic usages across </w:t>
      </w:r>
      <w:r>
        <w:rPr>
          <w:rFonts w:ascii="Arial" w:hAnsi="Arial" w:cs="Arial"/>
        </w:rPr>
        <w:t>COVID-19 severity t</w:t>
      </w:r>
      <w:r w:rsidRPr="13231772">
        <w:rPr>
          <w:rFonts w:ascii="Arial" w:hAnsi="Arial" w:cs="Arial"/>
        </w:rPr>
        <w:t xml:space="preserve">rajectory </w:t>
      </w:r>
      <w:r>
        <w:rPr>
          <w:rFonts w:ascii="Arial" w:hAnsi="Arial" w:cs="Arial"/>
        </w:rPr>
        <w:t>g</w:t>
      </w:r>
      <w:r w:rsidRPr="13231772">
        <w:rPr>
          <w:rFonts w:ascii="Arial" w:hAnsi="Arial" w:cs="Arial"/>
        </w:rPr>
        <w:t>roups.</w:t>
      </w:r>
    </w:p>
    <w:p w14:paraId="64A29886" w14:textId="77777777" w:rsidR="00ED752C" w:rsidRDefault="00ED752C" w:rsidP="00ED752C">
      <w:pPr>
        <w:spacing w:after="0" w:line="480" w:lineRule="auto"/>
        <w:rPr>
          <w:rFonts w:ascii="Arial" w:hAnsi="Arial" w:cs="Arial"/>
          <w:b/>
          <w:bCs/>
        </w:rPr>
      </w:pPr>
    </w:p>
    <w:p w14:paraId="4CC22B9D" w14:textId="77777777" w:rsidR="00ED752C" w:rsidRDefault="00ED752C" w:rsidP="00ED752C">
      <w:pPr>
        <w:spacing w:after="0" w:line="360" w:lineRule="auto"/>
        <w:rPr>
          <w:rFonts w:ascii="Arial" w:hAnsi="Arial" w:cs="Arial"/>
        </w:rPr>
      </w:pPr>
      <w:r w:rsidRPr="00EA43A0">
        <w:rPr>
          <w:rFonts w:ascii="Arial" w:hAnsi="Arial" w:cs="Arial"/>
          <w:b/>
          <w:bCs/>
        </w:rPr>
        <w:t>Supp. Table 3</w:t>
      </w:r>
      <w:r w:rsidRPr="13231772">
        <w:rPr>
          <w:rFonts w:ascii="Arial" w:hAnsi="Arial" w:cs="Arial"/>
        </w:rPr>
        <w:t xml:space="preserve">. </w:t>
      </w:r>
      <w:r w:rsidRPr="009735A0">
        <w:rPr>
          <w:rFonts w:ascii="Arial" w:hAnsi="Arial" w:cs="Arial"/>
        </w:rPr>
        <w:t>Nasal swab differential gene expression analysis comparing Azithro versus No Abx groups. Legend</w:t>
      </w:r>
      <w:r w:rsidRPr="00EA43A0">
        <w:rPr>
          <w:rFonts w:ascii="Arial" w:hAnsi="Arial" w:cs="Arial"/>
        </w:rPr>
        <w:t>: logFC = log(2) fold change; padj = Benjamini-Hochberg adjusted P value</w:t>
      </w:r>
      <w:r>
        <w:rPr>
          <w:rFonts w:ascii="Arial" w:hAnsi="Arial" w:cs="Arial"/>
        </w:rPr>
        <w:t>.</w:t>
      </w:r>
    </w:p>
    <w:p w14:paraId="50100532" w14:textId="77777777" w:rsidR="00ED752C" w:rsidRPr="00B70436" w:rsidRDefault="00ED752C" w:rsidP="00ED752C">
      <w:pPr>
        <w:spacing w:after="0" w:line="360" w:lineRule="auto"/>
        <w:rPr>
          <w:rFonts w:ascii="Arial" w:hAnsi="Arial" w:cs="Arial"/>
        </w:rPr>
      </w:pPr>
      <w:r>
        <w:rPr>
          <w:rFonts w:ascii="Arial" w:hAnsi="Arial" w:cs="Arial"/>
        </w:rPr>
        <w:t>Please see accompanying data file.</w:t>
      </w:r>
    </w:p>
    <w:p w14:paraId="11A41CDE" w14:textId="77777777" w:rsidR="00ED752C" w:rsidRDefault="00ED752C" w:rsidP="00ED752C">
      <w:pPr>
        <w:spacing w:after="0" w:line="480" w:lineRule="auto"/>
        <w:rPr>
          <w:rFonts w:ascii="Arial" w:hAnsi="Arial" w:cs="Arial"/>
          <w:b/>
          <w:bCs/>
        </w:rPr>
      </w:pPr>
    </w:p>
    <w:p w14:paraId="5FF431FC" w14:textId="77777777" w:rsidR="00ED752C" w:rsidRDefault="00ED752C" w:rsidP="00ED752C">
      <w:pPr>
        <w:spacing w:after="0" w:line="360" w:lineRule="auto"/>
        <w:rPr>
          <w:rFonts w:ascii="Arial" w:hAnsi="Arial" w:cs="Arial"/>
        </w:rPr>
      </w:pPr>
      <w:r w:rsidRPr="00EA43A0">
        <w:rPr>
          <w:rFonts w:ascii="Arial" w:hAnsi="Arial" w:cs="Arial"/>
          <w:b/>
          <w:bCs/>
        </w:rPr>
        <w:t>Supp. Table 4</w:t>
      </w:r>
      <w:r w:rsidRPr="13231772">
        <w:rPr>
          <w:rFonts w:ascii="Arial" w:hAnsi="Arial" w:cs="Arial"/>
        </w:rPr>
        <w:t xml:space="preserve">. </w:t>
      </w:r>
      <w:r w:rsidRPr="009735A0">
        <w:rPr>
          <w:rFonts w:ascii="Arial" w:hAnsi="Arial" w:cs="Arial"/>
        </w:rPr>
        <w:t>PBMC RNA-seq differential gene expression analysis comparing Azithro versus No Abx groups. Legend</w:t>
      </w:r>
      <w:r w:rsidRPr="00EA43A0">
        <w:rPr>
          <w:rFonts w:ascii="Arial" w:hAnsi="Arial" w:cs="Arial"/>
        </w:rPr>
        <w:t>: logFC = log(2) fold change; padj = Benjamini-Hochberg adjusted P value</w:t>
      </w:r>
      <w:r>
        <w:rPr>
          <w:rFonts w:ascii="Arial" w:hAnsi="Arial" w:cs="Arial"/>
        </w:rPr>
        <w:t>. Please see accompanying data file.</w:t>
      </w:r>
      <w:r>
        <w:rPr>
          <w:rFonts w:ascii="Arial" w:hAnsi="Arial" w:cs="Arial"/>
        </w:rPr>
        <w:br w:type="page"/>
      </w:r>
    </w:p>
    <w:tbl>
      <w:tblPr>
        <w:tblW w:w="9507" w:type="dxa"/>
        <w:tblLayout w:type="fixed"/>
        <w:tblLook w:val="04A0" w:firstRow="1" w:lastRow="0" w:firstColumn="1" w:lastColumn="0" w:noHBand="0" w:noVBand="1"/>
      </w:tblPr>
      <w:tblGrid>
        <w:gridCol w:w="1357"/>
        <w:gridCol w:w="1736"/>
        <w:gridCol w:w="916"/>
        <w:gridCol w:w="916"/>
        <w:gridCol w:w="916"/>
        <w:gridCol w:w="917"/>
        <w:gridCol w:w="916"/>
        <w:gridCol w:w="916"/>
        <w:gridCol w:w="917"/>
      </w:tblGrid>
      <w:tr w:rsidR="00ED752C" w:rsidRPr="0085788D" w14:paraId="6808C7F8" w14:textId="77777777" w:rsidTr="00A061AF">
        <w:trPr>
          <w:trHeight w:val="424"/>
        </w:trPr>
        <w:tc>
          <w:tcPr>
            <w:tcW w:w="3093" w:type="dxa"/>
            <w:gridSpan w:val="2"/>
            <w:tcBorders>
              <w:top w:val="single" w:sz="4" w:space="0" w:color="auto"/>
              <w:left w:val="single" w:sz="4" w:space="0" w:color="auto"/>
              <w:bottom w:val="single" w:sz="4" w:space="0" w:color="000000"/>
              <w:right w:val="single" w:sz="4" w:space="0" w:color="000000"/>
            </w:tcBorders>
            <w:shd w:val="clear" w:color="auto" w:fill="auto"/>
            <w:vAlign w:val="center"/>
            <w:hideMark/>
          </w:tcPr>
          <w:p w14:paraId="362E795F"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single" w:sz="4" w:space="0" w:color="auto"/>
              <w:left w:val="nil"/>
              <w:bottom w:val="single" w:sz="4" w:space="0" w:color="auto"/>
              <w:right w:val="single" w:sz="4" w:space="0" w:color="auto"/>
            </w:tcBorders>
            <w:shd w:val="clear" w:color="auto" w:fill="auto"/>
            <w:vAlign w:val="center"/>
            <w:hideMark/>
          </w:tcPr>
          <w:p w14:paraId="2FF30FC6" w14:textId="77777777" w:rsidR="00ED752C" w:rsidRPr="0085788D"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Overall</w:t>
            </w:r>
          </w:p>
          <w:p w14:paraId="1AB0E5BD"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(N=1164)</w:t>
            </w:r>
          </w:p>
        </w:tc>
        <w:tc>
          <w:tcPr>
            <w:tcW w:w="916" w:type="dxa"/>
            <w:tcBorders>
              <w:top w:val="single" w:sz="4" w:space="0" w:color="auto"/>
              <w:left w:val="nil"/>
              <w:bottom w:val="single" w:sz="4" w:space="0" w:color="auto"/>
              <w:right w:val="single" w:sz="4" w:space="0" w:color="auto"/>
            </w:tcBorders>
            <w:shd w:val="clear" w:color="auto" w:fill="auto"/>
            <w:vAlign w:val="center"/>
            <w:hideMark/>
          </w:tcPr>
          <w:p w14:paraId="0F6A5017" w14:textId="77777777" w:rsidR="00ED752C" w:rsidRPr="0085788D"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No Antibiotics</w:t>
            </w:r>
          </w:p>
          <w:p w14:paraId="7C8F4051"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(n=474)</w:t>
            </w:r>
          </w:p>
        </w:tc>
        <w:tc>
          <w:tcPr>
            <w:tcW w:w="916" w:type="dxa"/>
            <w:tcBorders>
              <w:top w:val="single" w:sz="4" w:space="0" w:color="auto"/>
              <w:left w:val="nil"/>
              <w:bottom w:val="single" w:sz="4" w:space="0" w:color="auto"/>
              <w:right w:val="single" w:sz="4" w:space="0" w:color="auto"/>
            </w:tcBorders>
            <w:shd w:val="clear" w:color="auto" w:fill="auto"/>
            <w:vAlign w:val="center"/>
            <w:hideMark/>
          </w:tcPr>
          <w:p w14:paraId="1EA36BF3" w14:textId="77777777" w:rsidR="00ED752C" w:rsidRPr="0085788D"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Azithro</w:t>
            </w:r>
          </w:p>
          <w:p w14:paraId="7E70FAF4"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(n=366)</w:t>
            </w:r>
          </w:p>
        </w:tc>
        <w:tc>
          <w:tcPr>
            <w:tcW w:w="917" w:type="dxa"/>
            <w:tcBorders>
              <w:top w:val="single" w:sz="4" w:space="0" w:color="auto"/>
              <w:left w:val="nil"/>
              <w:bottom w:val="single" w:sz="4" w:space="0" w:color="auto"/>
              <w:right w:val="single" w:sz="4" w:space="0" w:color="auto"/>
            </w:tcBorders>
            <w:shd w:val="clear" w:color="auto" w:fill="auto"/>
            <w:vAlign w:val="center"/>
            <w:hideMark/>
          </w:tcPr>
          <w:p w14:paraId="4F584CE3" w14:textId="77777777" w:rsidR="00ED752C" w:rsidRPr="0085788D"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Other Antibiotics</w:t>
            </w:r>
          </w:p>
          <w:p w14:paraId="098A9030"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(n=324)</w:t>
            </w:r>
          </w:p>
        </w:tc>
        <w:tc>
          <w:tcPr>
            <w:tcW w:w="9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CA2E3F"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Overall</w:t>
            </w:r>
            <w:r w:rsidRPr="00E41679">
              <w:rPr>
                <w:rFonts w:ascii="Arial" w:eastAsia="Times New Roman" w:hAnsi="Arial" w:cs="Arial"/>
                <w:b/>
                <w:bCs/>
                <w:color w:val="000000"/>
                <w:sz w:val="13"/>
                <w:szCs w:val="13"/>
              </w:rPr>
              <w:br/>
              <w:t>p-value</w:t>
            </w:r>
          </w:p>
        </w:tc>
        <w:tc>
          <w:tcPr>
            <w:tcW w:w="9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5CF231"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No vs Azithro</w:t>
            </w:r>
            <w:r w:rsidRPr="00E41679">
              <w:rPr>
                <w:rFonts w:ascii="Arial" w:eastAsia="Times New Roman" w:hAnsi="Arial" w:cs="Arial"/>
                <w:b/>
                <w:bCs/>
                <w:color w:val="000000"/>
                <w:sz w:val="13"/>
                <w:szCs w:val="13"/>
              </w:rPr>
              <w:br/>
              <w:t>p-value</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C40A54" w14:textId="77777777" w:rsidR="00ED752C" w:rsidRPr="0085788D"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 xml:space="preserve">Other vs Azithro </w:t>
            </w:r>
          </w:p>
          <w:p w14:paraId="71CD321F"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p-value</w:t>
            </w:r>
          </w:p>
        </w:tc>
      </w:tr>
      <w:tr w:rsidR="00ED752C" w:rsidRPr="0085788D" w14:paraId="78A35F81" w14:textId="77777777" w:rsidTr="00A061AF">
        <w:trPr>
          <w:trHeight w:val="20"/>
        </w:trPr>
        <w:tc>
          <w:tcPr>
            <w:tcW w:w="1357" w:type="dxa"/>
            <w:tcBorders>
              <w:top w:val="nil"/>
              <w:left w:val="single" w:sz="4" w:space="0" w:color="auto"/>
              <w:bottom w:val="single" w:sz="4" w:space="0" w:color="auto"/>
              <w:right w:val="single" w:sz="4" w:space="0" w:color="auto"/>
            </w:tcBorders>
            <w:shd w:val="clear" w:color="auto" w:fill="auto"/>
            <w:vAlign w:val="center"/>
            <w:hideMark/>
          </w:tcPr>
          <w:p w14:paraId="33EC66E9"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Age (years), median (IQR)</w:t>
            </w:r>
          </w:p>
        </w:tc>
        <w:tc>
          <w:tcPr>
            <w:tcW w:w="1736" w:type="dxa"/>
            <w:tcBorders>
              <w:top w:val="nil"/>
              <w:left w:val="nil"/>
              <w:bottom w:val="single" w:sz="4" w:space="0" w:color="auto"/>
              <w:right w:val="single" w:sz="4" w:space="0" w:color="auto"/>
            </w:tcBorders>
            <w:shd w:val="clear" w:color="auto" w:fill="auto"/>
            <w:vAlign w:val="center"/>
            <w:hideMark/>
          </w:tcPr>
          <w:p w14:paraId="0F34CF1D"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single" w:sz="4" w:space="0" w:color="auto"/>
              <w:left w:val="nil"/>
              <w:bottom w:val="single" w:sz="4" w:space="0" w:color="auto"/>
              <w:right w:val="single" w:sz="4" w:space="0" w:color="auto"/>
            </w:tcBorders>
            <w:shd w:val="clear" w:color="auto" w:fill="auto"/>
            <w:vAlign w:val="center"/>
            <w:hideMark/>
          </w:tcPr>
          <w:p w14:paraId="77FA568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59.0 (20.0)</w:t>
            </w:r>
          </w:p>
        </w:tc>
        <w:tc>
          <w:tcPr>
            <w:tcW w:w="916" w:type="dxa"/>
            <w:tcBorders>
              <w:top w:val="single" w:sz="4" w:space="0" w:color="auto"/>
              <w:left w:val="nil"/>
              <w:bottom w:val="single" w:sz="4" w:space="0" w:color="auto"/>
              <w:right w:val="single" w:sz="4" w:space="0" w:color="auto"/>
            </w:tcBorders>
            <w:shd w:val="clear" w:color="auto" w:fill="auto"/>
            <w:vAlign w:val="center"/>
            <w:hideMark/>
          </w:tcPr>
          <w:p w14:paraId="59D6BF27"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57.0 (21.0)</w:t>
            </w:r>
          </w:p>
        </w:tc>
        <w:tc>
          <w:tcPr>
            <w:tcW w:w="916" w:type="dxa"/>
            <w:tcBorders>
              <w:top w:val="single" w:sz="4" w:space="0" w:color="auto"/>
              <w:left w:val="nil"/>
              <w:bottom w:val="single" w:sz="4" w:space="0" w:color="auto"/>
              <w:right w:val="single" w:sz="4" w:space="0" w:color="auto"/>
            </w:tcBorders>
            <w:shd w:val="clear" w:color="auto" w:fill="auto"/>
            <w:vAlign w:val="center"/>
            <w:hideMark/>
          </w:tcPr>
          <w:p w14:paraId="1E701EE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59.0 (19.0)</w:t>
            </w:r>
          </w:p>
        </w:tc>
        <w:tc>
          <w:tcPr>
            <w:tcW w:w="917" w:type="dxa"/>
            <w:tcBorders>
              <w:top w:val="single" w:sz="4" w:space="0" w:color="auto"/>
              <w:left w:val="nil"/>
              <w:bottom w:val="single" w:sz="4" w:space="0" w:color="auto"/>
              <w:right w:val="single" w:sz="4" w:space="0" w:color="auto"/>
            </w:tcBorders>
            <w:shd w:val="clear" w:color="auto" w:fill="auto"/>
            <w:vAlign w:val="center"/>
            <w:hideMark/>
          </w:tcPr>
          <w:p w14:paraId="4E5E2E5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62.0 (19.0)</w:t>
            </w:r>
          </w:p>
        </w:tc>
        <w:tc>
          <w:tcPr>
            <w:tcW w:w="916" w:type="dxa"/>
            <w:tcBorders>
              <w:top w:val="nil"/>
              <w:left w:val="nil"/>
              <w:bottom w:val="nil"/>
              <w:right w:val="single" w:sz="4" w:space="0" w:color="auto"/>
            </w:tcBorders>
            <w:shd w:val="clear" w:color="auto" w:fill="auto"/>
            <w:vAlign w:val="center"/>
            <w:hideMark/>
          </w:tcPr>
          <w:p w14:paraId="0E241F0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&lt;.001</w:t>
            </w:r>
          </w:p>
        </w:tc>
        <w:tc>
          <w:tcPr>
            <w:tcW w:w="916" w:type="dxa"/>
            <w:tcBorders>
              <w:top w:val="nil"/>
              <w:left w:val="nil"/>
              <w:bottom w:val="nil"/>
              <w:right w:val="single" w:sz="4" w:space="0" w:color="auto"/>
            </w:tcBorders>
            <w:shd w:val="clear" w:color="auto" w:fill="auto"/>
            <w:vAlign w:val="center"/>
            <w:hideMark/>
          </w:tcPr>
          <w:p w14:paraId="1AC68F6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0.025</w:t>
            </w:r>
          </w:p>
        </w:tc>
        <w:tc>
          <w:tcPr>
            <w:tcW w:w="917" w:type="dxa"/>
            <w:tcBorders>
              <w:top w:val="nil"/>
              <w:left w:val="nil"/>
              <w:bottom w:val="nil"/>
              <w:right w:val="single" w:sz="4" w:space="0" w:color="auto"/>
            </w:tcBorders>
            <w:shd w:val="clear" w:color="auto" w:fill="auto"/>
            <w:vAlign w:val="center"/>
            <w:hideMark/>
          </w:tcPr>
          <w:p w14:paraId="4E78500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r>
      <w:tr w:rsidR="00ED752C" w:rsidRPr="0085788D" w14:paraId="4E4F1072" w14:textId="77777777" w:rsidTr="00A061AF">
        <w:trPr>
          <w:trHeight w:val="20"/>
        </w:trPr>
        <w:tc>
          <w:tcPr>
            <w:tcW w:w="1357" w:type="dxa"/>
            <w:vMerge w:val="restart"/>
            <w:tcBorders>
              <w:top w:val="nil"/>
              <w:left w:val="single" w:sz="4" w:space="0" w:color="auto"/>
              <w:bottom w:val="single" w:sz="4" w:space="0" w:color="auto"/>
              <w:right w:val="single" w:sz="4" w:space="0" w:color="auto"/>
            </w:tcBorders>
            <w:shd w:val="clear" w:color="auto" w:fill="auto"/>
            <w:vAlign w:val="center"/>
            <w:hideMark/>
          </w:tcPr>
          <w:p w14:paraId="2E93C9D5"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Sex at birth</w:t>
            </w:r>
          </w:p>
        </w:tc>
        <w:tc>
          <w:tcPr>
            <w:tcW w:w="1736" w:type="dxa"/>
            <w:tcBorders>
              <w:top w:val="nil"/>
              <w:left w:val="nil"/>
              <w:bottom w:val="single" w:sz="4" w:space="0" w:color="auto"/>
              <w:right w:val="single" w:sz="4" w:space="0" w:color="auto"/>
            </w:tcBorders>
            <w:shd w:val="clear" w:color="auto" w:fill="auto"/>
            <w:vAlign w:val="center"/>
            <w:hideMark/>
          </w:tcPr>
          <w:p w14:paraId="76B2AE7E"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Male</w:t>
            </w:r>
          </w:p>
        </w:tc>
        <w:tc>
          <w:tcPr>
            <w:tcW w:w="916" w:type="dxa"/>
            <w:tcBorders>
              <w:top w:val="nil"/>
              <w:left w:val="nil"/>
              <w:bottom w:val="single" w:sz="4" w:space="0" w:color="auto"/>
              <w:right w:val="single" w:sz="4" w:space="0" w:color="auto"/>
            </w:tcBorders>
            <w:shd w:val="clear" w:color="auto" w:fill="auto"/>
            <w:vAlign w:val="center"/>
            <w:hideMark/>
          </w:tcPr>
          <w:p w14:paraId="3FDD07D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711 (61%)</w:t>
            </w:r>
          </w:p>
        </w:tc>
        <w:tc>
          <w:tcPr>
            <w:tcW w:w="916" w:type="dxa"/>
            <w:tcBorders>
              <w:top w:val="nil"/>
              <w:left w:val="nil"/>
              <w:bottom w:val="single" w:sz="4" w:space="0" w:color="auto"/>
              <w:right w:val="single" w:sz="4" w:space="0" w:color="auto"/>
            </w:tcBorders>
            <w:shd w:val="clear" w:color="auto" w:fill="auto"/>
            <w:vAlign w:val="center"/>
            <w:hideMark/>
          </w:tcPr>
          <w:p w14:paraId="1D839F4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289 (61%)</w:t>
            </w:r>
          </w:p>
        </w:tc>
        <w:tc>
          <w:tcPr>
            <w:tcW w:w="916" w:type="dxa"/>
            <w:tcBorders>
              <w:top w:val="nil"/>
              <w:left w:val="nil"/>
              <w:bottom w:val="single" w:sz="4" w:space="0" w:color="auto"/>
              <w:right w:val="single" w:sz="4" w:space="0" w:color="auto"/>
            </w:tcBorders>
            <w:shd w:val="clear" w:color="auto" w:fill="auto"/>
            <w:vAlign w:val="center"/>
            <w:hideMark/>
          </w:tcPr>
          <w:p w14:paraId="5D8303A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228 (62%)</w:t>
            </w:r>
          </w:p>
        </w:tc>
        <w:tc>
          <w:tcPr>
            <w:tcW w:w="917" w:type="dxa"/>
            <w:tcBorders>
              <w:top w:val="nil"/>
              <w:left w:val="nil"/>
              <w:bottom w:val="single" w:sz="4" w:space="0" w:color="auto"/>
              <w:right w:val="nil"/>
            </w:tcBorders>
            <w:shd w:val="clear" w:color="auto" w:fill="auto"/>
            <w:vAlign w:val="center"/>
            <w:hideMark/>
          </w:tcPr>
          <w:p w14:paraId="0630A7E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194 (60%)</w:t>
            </w:r>
          </w:p>
        </w:tc>
        <w:tc>
          <w:tcPr>
            <w:tcW w:w="916" w:type="dxa"/>
            <w:tcBorders>
              <w:top w:val="single" w:sz="4" w:space="0" w:color="auto"/>
              <w:left w:val="single" w:sz="4" w:space="0" w:color="auto"/>
              <w:bottom w:val="nil"/>
              <w:right w:val="single" w:sz="4" w:space="0" w:color="auto"/>
            </w:tcBorders>
            <w:shd w:val="clear" w:color="auto" w:fill="auto"/>
            <w:vAlign w:val="center"/>
            <w:hideMark/>
          </w:tcPr>
          <w:p w14:paraId="13A5977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0.808</w:t>
            </w:r>
          </w:p>
        </w:tc>
        <w:tc>
          <w:tcPr>
            <w:tcW w:w="916" w:type="dxa"/>
            <w:tcBorders>
              <w:top w:val="single" w:sz="4" w:space="0" w:color="auto"/>
              <w:left w:val="nil"/>
              <w:bottom w:val="nil"/>
              <w:right w:val="single" w:sz="4" w:space="0" w:color="auto"/>
            </w:tcBorders>
            <w:shd w:val="clear" w:color="auto" w:fill="auto"/>
            <w:vAlign w:val="center"/>
            <w:hideMark/>
          </w:tcPr>
          <w:p w14:paraId="52B08E9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0.696</w:t>
            </w:r>
          </w:p>
        </w:tc>
        <w:tc>
          <w:tcPr>
            <w:tcW w:w="917" w:type="dxa"/>
            <w:tcBorders>
              <w:top w:val="single" w:sz="4" w:space="0" w:color="auto"/>
              <w:left w:val="nil"/>
              <w:bottom w:val="nil"/>
              <w:right w:val="single" w:sz="4" w:space="0" w:color="auto"/>
            </w:tcBorders>
            <w:shd w:val="clear" w:color="auto" w:fill="auto"/>
            <w:vAlign w:val="center"/>
            <w:hideMark/>
          </w:tcPr>
          <w:p w14:paraId="5A5A1E7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0.756</w:t>
            </w:r>
          </w:p>
        </w:tc>
      </w:tr>
      <w:tr w:rsidR="00ED752C" w:rsidRPr="0085788D" w14:paraId="25D86342"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4A36CA1E"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32F4BF89"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Female</w:t>
            </w:r>
          </w:p>
        </w:tc>
        <w:tc>
          <w:tcPr>
            <w:tcW w:w="916" w:type="dxa"/>
            <w:tcBorders>
              <w:top w:val="nil"/>
              <w:left w:val="nil"/>
              <w:bottom w:val="single" w:sz="4" w:space="0" w:color="auto"/>
              <w:right w:val="single" w:sz="4" w:space="0" w:color="auto"/>
            </w:tcBorders>
            <w:shd w:val="clear" w:color="auto" w:fill="auto"/>
            <w:vAlign w:val="center"/>
            <w:hideMark/>
          </w:tcPr>
          <w:p w14:paraId="7264AE0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453 (39%)</w:t>
            </w:r>
          </w:p>
        </w:tc>
        <w:tc>
          <w:tcPr>
            <w:tcW w:w="916" w:type="dxa"/>
            <w:tcBorders>
              <w:top w:val="nil"/>
              <w:left w:val="nil"/>
              <w:bottom w:val="single" w:sz="4" w:space="0" w:color="auto"/>
              <w:right w:val="single" w:sz="4" w:space="0" w:color="auto"/>
            </w:tcBorders>
            <w:shd w:val="clear" w:color="auto" w:fill="auto"/>
            <w:vAlign w:val="center"/>
            <w:hideMark/>
          </w:tcPr>
          <w:p w14:paraId="1B762D4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185 (39%)</w:t>
            </w:r>
          </w:p>
        </w:tc>
        <w:tc>
          <w:tcPr>
            <w:tcW w:w="916" w:type="dxa"/>
            <w:tcBorders>
              <w:top w:val="nil"/>
              <w:left w:val="nil"/>
              <w:bottom w:val="single" w:sz="4" w:space="0" w:color="auto"/>
              <w:right w:val="single" w:sz="4" w:space="0" w:color="auto"/>
            </w:tcBorders>
            <w:shd w:val="clear" w:color="auto" w:fill="auto"/>
            <w:vAlign w:val="center"/>
            <w:hideMark/>
          </w:tcPr>
          <w:p w14:paraId="1FB3965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138 (38%)</w:t>
            </w:r>
          </w:p>
        </w:tc>
        <w:tc>
          <w:tcPr>
            <w:tcW w:w="917" w:type="dxa"/>
            <w:tcBorders>
              <w:top w:val="nil"/>
              <w:left w:val="nil"/>
              <w:bottom w:val="single" w:sz="4" w:space="0" w:color="auto"/>
              <w:right w:val="nil"/>
            </w:tcBorders>
            <w:shd w:val="clear" w:color="auto" w:fill="auto"/>
            <w:vAlign w:val="center"/>
            <w:hideMark/>
          </w:tcPr>
          <w:p w14:paraId="479B857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130 (40%)</w:t>
            </w:r>
          </w:p>
        </w:tc>
        <w:tc>
          <w:tcPr>
            <w:tcW w:w="916" w:type="dxa"/>
            <w:tcBorders>
              <w:top w:val="nil"/>
              <w:left w:val="single" w:sz="4" w:space="0" w:color="auto"/>
              <w:bottom w:val="single" w:sz="4" w:space="0" w:color="auto"/>
              <w:right w:val="single" w:sz="4" w:space="0" w:color="auto"/>
            </w:tcBorders>
            <w:shd w:val="clear" w:color="auto" w:fill="auto"/>
            <w:vAlign w:val="center"/>
            <w:hideMark/>
          </w:tcPr>
          <w:p w14:paraId="345CC5E2"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single" w:sz="4" w:space="0" w:color="auto"/>
              <w:right w:val="single" w:sz="4" w:space="0" w:color="auto"/>
            </w:tcBorders>
            <w:shd w:val="clear" w:color="auto" w:fill="auto"/>
            <w:vAlign w:val="center"/>
            <w:hideMark/>
          </w:tcPr>
          <w:p w14:paraId="66202ECA"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single" w:sz="4" w:space="0" w:color="auto"/>
              <w:right w:val="single" w:sz="4" w:space="0" w:color="auto"/>
            </w:tcBorders>
            <w:shd w:val="clear" w:color="auto" w:fill="auto"/>
            <w:vAlign w:val="center"/>
            <w:hideMark/>
          </w:tcPr>
          <w:p w14:paraId="7BAFE45B"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43FA5386" w14:textId="77777777" w:rsidTr="00A061AF">
        <w:trPr>
          <w:trHeight w:val="20"/>
        </w:trPr>
        <w:tc>
          <w:tcPr>
            <w:tcW w:w="1357" w:type="dxa"/>
            <w:vMerge w:val="restart"/>
            <w:tcBorders>
              <w:top w:val="nil"/>
              <w:left w:val="single" w:sz="4" w:space="0" w:color="auto"/>
              <w:bottom w:val="single" w:sz="4" w:space="0" w:color="auto"/>
              <w:right w:val="single" w:sz="4" w:space="0" w:color="auto"/>
            </w:tcBorders>
            <w:shd w:val="clear" w:color="auto" w:fill="auto"/>
            <w:vAlign w:val="center"/>
            <w:hideMark/>
          </w:tcPr>
          <w:p w14:paraId="7964998A"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Race</w:t>
            </w:r>
          </w:p>
        </w:tc>
        <w:tc>
          <w:tcPr>
            <w:tcW w:w="1736" w:type="dxa"/>
            <w:tcBorders>
              <w:top w:val="nil"/>
              <w:left w:val="nil"/>
              <w:bottom w:val="single" w:sz="4" w:space="0" w:color="auto"/>
              <w:right w:val="single" w:sz="4" w:space="0" w:color="auto"/>
            </w:tcBorders>
            <w:shd w:val="clear" w:color="auto" w:fill="auto"/>
            <w:vAlign w:val="center"/>
            <w:hideMark/>
          </w:tcPr>
          <w:p w14:paraId="236336AD"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White</w:t>
            </w:r>
          </w:p>
        </w:tc>
        <w:tc>
          <w:tcPr>
            <w:tcW w:w="916" w:type="dxa"/>
            <w:tcBorders>
              <w:top w:val="nil"/>
              <w:left w:val="nil"/>
              <w:bottom w:val="single" w:sz="4" w:space="0" w:color="auto"/>
              <w:right w:val="single" w:sz="4" w:space="0" w:color="auto"/>
            </w:tcBorders>
            <w:shd w:val="clear" w:color="auto" w:fill="auto"/>
            <w:vAlign w:val="center"/>
            <w:hideMark/>
          </w:tcPr>
          <w:p w14:paraId="303541E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562 (48%)</w:t>
            </w:r>
          </w:p>
        </w:tc>
        <w:tc>
          <w:tcPr>
            <w:tcW w:w="916" w:type="dxa"/>
            <w:tcBorders>
              <w:top w:val="nil"/>
              <w:left w:val="nil"/>
              <w:bottom w:val="single" w:sz="4" w:space="0" w:color="auto"/>
              <w:right w:val="single" w:sz="4" w:space="0" w:color="auto"/>
            </w:tcBorders>
            <w:shd w:val="clear" w:color="auto" w:fill="auto"/>
            <w:vAlign w:val="center"/>
            <w:hideMark/>
          </w:tcPr>
          <w:p w14:paraId="062EC19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205 (43%)</w:t>
            </w:r>
          </w:p>
        </w:tc>
        <w:tc>
          <w:tcPr>
            <w:tcW w:w="916" w:type="dxa"/>
            <w:tcBorders>
              <w:top w:val="nil"/>
              <w:left w:val="nil"/>
              <w:bottom w:val="single" w:sz="4" w:space="0" w:color="auto"/>
              <w:right w:val="single" w:sz="4" w:space="0" w:color="auto"/>
            </w:tcBorders>
            <w:shd w:val="clear" w:color="auto" w:fill="auto"/>
            <w:vAlign w:val="center"/>
            <w:hideMark/>
          </w:tcPr>
          <w:p w14:paraId="4AC69DC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189 (52%)</w:t>
            </w:r>
          </w:p>
        </w:tc>
        <w:tc>
          <w:tcPr>
            <w:tcW w:w="917" w:type="dxa"/>
            <w:tcBorders>
              <w:top w:val="nil"/>
              <w:left w:val="nil"/>
              <w:bottom w:val="single" w:sz="4" w:space="0" w:color="auto"/>
              <w:right w:val="nil"/>
            </w:tcBorders>
            <w:shd w:val="clear" w:color="auto" w:fill="auto"/>
            <w:vAlign w:val="center"/>
            <w:hideMark/>
          </w:tcPr>
          <w:p w14:paraId="40A054F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168 (52%)</w:t>
            </w:r>
          </w:p>
        </w:tc>
        <w:tc>
          <w:tcPr>
            <w:tcW w:w="916" w:type="dxa"/>
            <w:tcBorders>
              <w:top w:val="nil"/>
              <w:left w:val="single" w:sz="4" w:space="0" w:color="auto"/>
              <w:bottom w:val="nil"/>
              <w:right w:val="single" w:sz="4" w:space="0" w:color="auto"/>
            </w:tcBorders>
            <w:shd w:val="clear" w:color="auto" w:fill="auto"/>
            <w:vAlign w:val="center"/>
            <w:hideMark/>
          </w:tcPr>
          <w:p w14:paraId="61E7F72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0.117</w:t>
            </w:r>
          </w:p>
        </w:tc>
        <w:tc>
          <w:tcPr>
            <w:tcW w:w="916" w:type="dxa"/>
            <w:tcBorders>
              <w:top w:val="nil"/>
              <w:left w:val="nil"/>
              <w:bottom w:val="nil"/>
              <w:right w:val="single" w:sz="4" w:space="0" w:color="auto"/>
            </w:tcBorders>
            <w:shd w:val="clear" w:color="auto" w:fill="auto"/>
            <w:vAlign w:val="center"/>
            <w:hideMark/>
          </w:tcPr>
          <w:p w14:paraId="1B02275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0.289</w:t>
            </w:r>
          </w:p>
        </w:tc>
        <w:tc>
          <w:tcPr>
            <w:tcW w:w="917" w:type="dxa"/>
            <w:tcBorders>
              <w:top w:val="nil"/>
              <w:left w:val="nil"/>
              <w:bottom w:val="nil"/>
              <w:right w:val="single" w:sz="4" w:space="0" w:color="auto"/>
            </w:tcBorders>
            <w:shd w:val="clear" w:color="auto" w:fill="auto"/>
            <w:vAlign w:val="center"/>
            <w:hideMark/>
          </w:tcPr>
          <w:p w14:paraId="3CAC95C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0.037</w:t>
            </w:r>
          </w:p>
        </w:tc>
      </w:tr>
      <w:tr w:rsidR="00ED752C" w:rsidRPr="0085788D" w14:paraId="741384D0"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756314EB"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75266205"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Black</w:t>
            </w:r>
          </w:p>
        </w:tc>
        <w:tc>
          <w:tcPr>
            <w:tcW w:w="916" w:type="dxa"/>
            <w:tcBorders>
              <w:top w:val="nil"/>
              <w:left w:val="nil"/>
              <w:bottom w:val="single" w:sz="4" w:space="0" w:color="auto"/>
              <w:right w:val="single" w:sz="4" w:space="0" w:color="auto"/>
            </w:tcBorders>
            <w:shd w:val="clear" w:color="auto" w:fill="auto"/>
            <w:vAlign w:val="center"/>
            <w:hideMark/>
          </w:tcPr>
          <w:p w14:paraId="5C8B545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259 (22%)</w:t>
            </w:r>
          </w:p>
        </w:tc>
        <w:tc>
          <w:tcPr>
            <w:tcW w:w="916" w:type="dxa"/>
            <w:tcBorders>
              <w:top w:val="nil"/>
              <w:left w:val="nil"/>
              <w:bottom w:val="single" w:sz="4" w:space="0" w:color="auto"/>
              <w:right w:val="single" w:sz="4" w:space="0" w:color="auto"/>
            </w:tcBorders>
            <w:shd w:val="clear" w:color="auto" w:fill="auto"/>
            <w:vAlign w:val="center"/>
            <w:hideMark/>
          </w:tcPr>
          <w:p w14:paraId="682ECD6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125 (26%)</w:t>
            </w:r>
          </w:p>
        </w:tc>
        <w:tc>
          <w:tcPr>
            <w:tcW w:w="916" w:type="dxa"/>
            <w:tcBorders>
              <w:top w:val="nil"/>
              <w:left w:val="nil"/>
              <w:bottom w:val="single" w:sz="4" w:space="0" w:color="auto"/>
              <w:right w:val="single" w:sz="4" w:space="0" w:color="auto"/>
            </w:tcBorders>
            <w:shd w:val="clear" w:color="auto" w:fill="auto"/>
            <w:vAlign w:val="center"/>
            <w:hideMark/>
          </w:tcPr>
          <w:p w14:paraId="668A5BF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75 (20%)</w:t>
            </w:r>
          </w:p>
        </w:tc>
        <w:tc>
          <w:tcPr>
            <w:tcW w:w="917" w:type="dxa"/>
            <w:tcBorders>
              <w:top w:val="nil"/>
              <w:left w:val="nil"/>
              <w:bottom w:val="single" w:sz="4" w:space="0" w:color="auto"/>
              <w:right w:val="nil"/>
            </w:tcBorders>
            <w:shd w:val="clear" w:color="auto" w:fill="auto"/>
            <w:vAlign w:val="center"/>
            <w:hideMark/>
          </w:tcPr>
          <w:p w14:paraId="64F7802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59 (18%)</w:t>
            </w:r>
          </w:p>
        </w:tc>
        <w:tc>
          <w:tcPr>
            <w:tcW w:w="916" w:type="dxa"/>
            <w:tcBorders>
              <w:top w:val="nil"/>
              <w:left w:val="single" w:sz="4" w:space="0" w:color="auto"/>
              <w:bottom w:val="nil"/>
              <w:right w:val="single" w:sz="4" w:space="0" w:color="auto"/>
            </w:tcBorders>
            <w:shd w:val="clear" w:color="auto" w:fill="auto"/>
            <w:vAlign w:val="center"/>
            <w:hideMark/>
          </w:tcPr>
          <w:p w14:paraId="05FD2FF1"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5D24F21D"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6D6919E6"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496A0407"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2BDB0DEF"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0DB252BC"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Other</w:t>
            </w:r>
          </w:p>
        </w:tc>
        <w:tc>
          <w:tcPr>
            <w:tcW w:w="916" w:type="dxa"/>
            <w:tcBorders>
              <w:top w:val="nil"/>
              <w:left w:val="nil"/>
              <w:bottom w:val="single" w:sz="4" w:space="0" w:color="auto"/>
              <w:right w:val="single" w:sz="4" w:space="0" w:color="auto"/>
            </w:tcBorders>
            <w:shd w:val="clear" w:color="auto" w:fill="auto"/>
            <w:vAlign w:val="center"/>
            <w:hideMark/>
          </w:tcPr>
          <w:p w14:paraId="0D1C9FA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210 (18%)</w:t>
            </w:r>
          </w:p>
        </w:tc>
        <w:tc>
          <w:tcPr>
            <w:tcW w:w="916" w:type="dxa"/>
            <w:tcBorders>
              <w:top w:val="nil"/>
              <w:left w:val="nil"/>
              <w:bottom w:val="single" w:sz="4" w:space="0" w:color="auto"/>
              <w:right w:val="single" w:sz="4" w:space="0" w:color="auto"/>
            </w:tcBorders>
            <w:shd w:val="clear" w:color="auto" w:fill="auto"/>
            <w:vAlign w:val="center"/>
            <w:hideMark/>
          </w:tcPr>
          <w:p w14:paraId="1E25D41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93 (20%)</w:t>
            </w:r>
          </w:p>
        </w:tc>
        <w:tc>
          <w:tcPr>
            <w:tcW w:w="916" w:type="dxa"/>
            <w:tcBorders>
              <w:top w:val="nil"/>
              <w:left w:val="nil"/>
              <w:bottom w:val="single" w:sz="4" w:space="0" w:color="auto"/>
              <w:right w:val="single" w:sz="4" w:space="0" w:color="auto"/>
            </w:tcBorders>
            <w:shd w:val="clear" w:color="auto" w:fill="auto"/>
            <w:vAlign w:val="center"/>
            <w:hideMark/>
          </w:tcPr>
          <w:p w14:paraId="2C45301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62 (17%)</w:t>
            </w:r>
          </w:p>
        </w:tc>
        <w:tc>
          <w:tcPr>
            <w:tcW w:w="917" w:type="dxa"/>
            <w:tcBorders>
              <w:top w:val="nil"/>
              <w:left w:val="nil"/>
              <w:bottom w:val="single" w:sz="4" w:space="0" w:color="auto"/>
              <w:right w:val="nil"/>
            </w:tcBorders>
            <w:shd w:val="clear" w:color="auto" w:fill="auto"/>
            <w:vAlign w:val="center"/>
            <w:hideMark/>
          </w:tcPr>
          <w:p w14:paraId="7552F117"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55 (17%)</w:t>
            </w:r>
          </w:p>
        </w:tc>
        <w:tc>
          <w:tcPr>
            <w:tcW w:w="916" w:type="dxa"/>
            <w:tcBorders>
              <w:top w:val="nil"/>
              <w:left w:val="single" w:sz="4" w:space="0" w:color="auto"/>
              <w:bottom w:val="nil"/>
              <w:right w:val="single" w:sz="4" w:space="0" w:color="auto"/>
            </w:tcBorders>
            <w:shd w:val="clear" w:color="auto" w:fill="auto"/>
            <w:vAlign w:val="center"/>
            <w:hideMark/>
          </w:tcPr>
          <w:p w14:paraId="09F80089"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0A3940F2"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517D27BB"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62C0CCE9"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03296B3F"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6703F62C"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Asian</w:t>
            </w:r>
          </w:p>
        </w:tc>
        <w:tc>
          <w:tcPr>
            <w:tcW w:w="916" w:type="dxa"/>
            <w:tcBorders>
              <w:top w:val="nil"/>
              <w:left w:val="nil"/>
              <w:bottom w:val="single" w:sz="4" w:space="0" w:color="auto"/>
              <w:right w:val="single" w:sz="4" w:space="0" w:color="auto"/>
            </w:tcBorders>
            <w:shd w:val="clear" w:color="auto" w:fill="auto"/>
            <w:vAlign w:val="center"/>
            <w:hideMark/>
          </w:tcPr>
          <w:p w14:paraId="1E07EF3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51 (4%)</w:t>
            </w:r>
          </w:p>
        </w:tc>
        <w:tc>
          <w:tcPr>
            <w:tcW w:w="916" w:type="dxa"/>
            <w:tcBorders>
              <w:top w:val="nil"/>
              <w:left w:val="nil"/>
              <w:bottom w:val="single" w:sz="4" w:space="0" w:color="auto"/>
              <w:right w:val="single" w:sz="4" w:space="0" w:color="auto"/>
            </w:tcBorders>
            <w:shd w:val="clear" w:color="auto" w:fill="auto"/>
            <w:vAlign w:val="center"/>
            <w:hideMark/>
          </w:tcPr>
          <w:p w14:paraId="3171242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18 (4%)</w:t>
            </w:r>
          </w:p>
        </w:tc>
        <w:tc>
          <w:tcPr>
            <w:tcW w:w="916" w:type="dxa"/>
            <w:tcBorders>
              <w:top w:val="nil"/>
              <w:left w:val="nil"/>
              <w:bottom w:val="single" w:sz="4" w:space="0" w:color="auto"/>
              <w:right w:val="single" w:sz="4" w:space="0" w:color="auto"/>
            </w:tcBorders>
            <w:shd w:val="clear" w:color="auto" w:fill="auto"/>
            <w:vAlign w:val="center"/>
            <w:hideMark/>
          </w:tcPr>
          <w:p w14:paraId="5C84490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19 (5%)</w:t>
            </w:r>
          </w:p>
        </w:tc>
        <w:tc>
          <w:tcPr>
            <w:tcW w:w="917" w:type="dxa"/>
            <w:tcBorders>
              <w:top w:val="nil"/>
              <w:left w:val="nil"/>
              <w:bottom w:val="single" w:sz="4" w:space="0" w:color="auto"/>
              <w:right w:val="nil"/>
            </w:tcBorders>
            <w:shd w:val="clear" w:color="auto" w:fill="auto"/>
            <w:vAlign w:val="center"/>
            <w:hideMark/>
          </w:tcPr>
          <w:p w14:paraId="59F2641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14 (4%)</w:t>
            </w:r>
          </w:p>
        </w:tc>
        <w:tc>
          <w:tcPr>
            <w:tcW w:w="916" w:type="dxa"/>
            <w:tcBorders>
              <w:top w:val="nil"/>
              <w:left w:val="single" w:sz="4" w:space="0" w:color="auto"/>
              <w:bottom w:val="nil"/>
              <w:right w:val="single" w:sz="4" w:space="0" w:color="auto"/>
            </w:tcBorders>
            <w:shd w:val="clear" w:color="auto" w:fill="auto"/>
            <w:vAlign w:val="center"/>
            <w:hideMark/>
          </w:tcPr>
          <w:p w14:paraId="42F78CD1"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2DE2176D"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55A980D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594F8144"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1981FCCF"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2ACC55D6"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Multiple</w:t>
            </w:r>
          </w:p>
        </w:tc>
        <w:tc>
          <w:tcPr>
            <w:tcW w:w="916" w:type="dxa"/>
            <w:tcBorders>
              <w:top w:val="nil"/>
              <w:left w:val="nil"/>
              <w:bottom w:val="single" w:sz="4" w:space="0" w:color="auto"/>
              <w:right w:val="single" w:sz="4" w:space="0" w:color="auto"/>
            </w:tcBorders>
            <w:shd w:val="clear" w:color="auto" w:fill="auto"/>
            <w:vAlign w:val="center"/>
            <w:hideMark/>
          </w:tcPr>
          <w:p w14:paraId="7C05B4E7"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15 (1%)</w:t>
            </w:r>
          </w:p>
        </w:tc>
        <w:tc>
          <w:tcPr>
            <w:tcW w:w="916" w:type="dxa"/>
            <w:tcBorders>
              <w:top w:val="nil"/>
              <w:left w:val="nil"/>
              <w:bottom w:val="single" w:sz="4" w:space="0" w:color="auto"/>
              <w:right w:val="single" w:sz="4" w:space="0" w:color="auto"/>
            </w:tcBorders>
            <w:shd w:val="clear" w:color="auto" w:fill="auto"/>
            <w:vAlign w:val="center"/>
            <w:hideMark/>
          </w:tcPr>
          <w:p w14:paraId="01F9EAA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 (1%)</w:t>
            </w:r>
          </w:p>
        </w:tc>
        <w:tc>
          <w:tcPr>
            <w:tcW w:w="916" w:type="dxa"/>
            <w:tcBorders>
              <w:top w:val="nil"/>
              <w:left w:val="nil"/>
              <w:bottom w:val="single" w:sz="4" w:space="0" w:color="auto"/>
              <w:right w:val="single" w:sz="4" w:space="0" w:color="auto"/>
            </w:tcBorders>
            <w:shd w:val="clear" w:color="auto" w:fill="auto"/>
            <w:vAlign w:val="center"/>
            <w:hideMark/>
          </w:tcPr>
          <w:p w14:paraId="6BAC798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 (1%)</w:t>
            </w:r>
          </w:p>
        </w:tc>
        <w:tc>
          <w:tcPr>
            <w:tcW w:w="917" w:type="dxa"/>
            <w:tcBorders>
              <w:top w:val="nil"/>
              <w:left w:val="nil"/>
              <w:bottom w:val="single" w:sz="4" w:space="0" w:color="auto"/>
              <w:right w:val="nil"/>
            </w:tcBorders>
            <w:shd w:val="clear" w:color="auto" w:fill="auto"/>
            <w:vAlign w:val="center"/>
            <w:hideMark/>
          </w:tcPr>
          <w:p w14:paraId="52C0622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 (2%)</w:t>
            </w:r>
          </w:p>
        </w:tc>
        <w:tc>
          <w:tcPr>
            <w:tcW w:w="916" w:type="dxa"/>
            <w:tcBorders>
              <w:top w:val="nil"/>
              <w:left w:val="single" w:sz="4" w:space="0" w:color="auto"/>
              <w:bottom w:val="nil"/>
              <w:right w:val="single" w:sz="4" w:space="0" w:color="auto"/>
            </w:tcBorders>
            <w:shd w:val="clear" w:color="auto" w:fill="auto"/>
            <w:vAlign w:val="center"/>
            <w:hideMark/>
          </w:tcPr>
          <w:p w14:paraId="3983599A"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7F112915"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5061F70D"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0C994042"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5A1EFBD9"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71B08E1E"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American Indian/Alaska Native</w:t>
            </w:r>
          </w:p>
        </w:tc>
        <w:tc>
          <w:tcPr>
            <w:tcW w:w="916" w:type="dxa"/>
            <w:tcBorders>
              <w:top w:val="nil"/>
              <w:left w:val="nil"/>
              <w:bottom w:val="single" w:sz="4" w:space="0" w:color="auto"/>
              <w:right w:val="single" w:sz="4" w:space="0" w:color="auto"/>
            </w:tcBorders>
            <w:shd w:val="clear" w:color="auto" w:fill="auto"/>
            <w:vAlign w:val="center"/>
            <w:hideMark/>
          </w:tcPr>
          <w:p w14:paraId="1D49106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14 (1%)</w:t>
            </w:r>
          </w:p>
        </w:tc>
        <w:tc>
          <w:tcPr>
            <w:tcW w:w="916" w:type="dxa"/>
            <w:tcBorders>
              <w:top w:val="nil"/>
              <w:left w:val="nil"/>
              <w:bottom w:val="single" w:sz="4" w:space="0" w:color="auto"/>
              <w:right w:val="single" w:sz="4" w:space="0" w:color="auto"/>
            </w:tcBorders>
            <w:shd w:val="clear" w:color="auto" w:fill="auto"/>
            <w:vAlign w:val="center"/>
            <w:hideMark/>
          </w:tcPr>
          <w:p w14:paraId="1706404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 (1%)</w:t>
            </w:r>
          </w:p>
        </w:tc>
        <w:tc>
          <w:tcPr>
            <w:tcW w:w="916" w:type="dxa"/>
            <w:tcBorders>
              <w:top w:val="nil"/>
              <w:left w:val="nil"/>
              <w:bottom w:val="single" w:sz="4" w:space="0" w:color="auto"/>
              <w:right w:val="single" w:sz="4" w:space="0" w:color="auto"/>
            </w:tcBorders>
            <w:shd w:val="clear" w:color="auto" w:fill="auto"/>
            <w:vAlign w:val="center"/>
            <w:hideMark/>
          </w:tcPr>
          <w:p w14:paraId="65DC412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 (1%)</w:t>
            </w:r>
          </w:p>
        </w:tc>
        <w:tc>
          <w:tcPr>
            <w:tcW w:w="917" w:type="dxa"/>
            <w:tcBorders>
              <w:top w:val="nil"/>
              <w:left w:val="nil"/>
              <w:bottom w:val="single" w:sz="4" w:space="0" w:color="auto"/>
              <w:right w:val="nil"/>
            </w:tcBorders>
            <w:shd w:val="clear" w:color="auto" w:fill="auto"/>
            <w:vAlign w:val="center"/>
            <w:hideMark/>
          </w:tcPr>
          <w:p w14:paraId="4DBD385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 (1%)</w:t>
            </w:r>
          </w:p>
        </w:tc>
        <w:tc>
          <w:tcPr>
            <w:tcW w:w="916" w:type="dxa"/>
            <w:tcBorders>
              <w:top w:val="nil"/>
              <w:left w:val="single" w:sz="4" w:space="0" w:color="auto"/>
              <w:bottom w:val="nil"/>
              <w:right w:val="single" w:sz="4" w:space="0" w:color="auto"/>
            </w:tcBorders>
            <w:shd w:val="clear" w:color="auto" w:fill="auto"/>
            <w:vAlign w:val="center"/>
            <w:hideMark/>
          </w:tcPr>
          <w:p w14:paraId="6F26FEAD"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46051EF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4D81EE21"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59EBA38D"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6E42D667"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152810A0"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Native Hawaiian/Pacific Islander</w:t>
            </w:r>
          </w:p>
        </w:tc>
        <w:tc>
          <w:tcPr>
            <w:tcW w:w="916" w:type="dxa"/>
            <w:tcBorders>
              <w:top w:val="nil"/>
              <w:left w:val="nil"/>
              <w:bottom w:val="single" w:sz="4" w:space="0" w:color="auto"/>
              <w:right w:val="single" w:sz="4" w:space="0" w:color="auto"/>
            </w:tcBorders>
            <w:shd w:val="clear" w:color="auto" w:fill="auto"/>
            <w:vAlign w:val="center"/>
            <w:hideMark/>
          </w:tcPr>
          <w:p w14:paraId="3D12907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11 (1%)</w:t>
            </w:r>
          </w:p>
        </w:tc>
        <w:tc>
          <w:tcPr>
            <w:tcW w:w="916" w:type="dxa"/>
            <w:tcBorders>
              <w:top w:val="nil"/>
              <w:left w:val="nil"/>
              <w:bottom w:val="single" w:sz="4" w:space="0" w:color="auto"/>
              <w:right w:val="single" w:sz="4" w:space="0" w:color="auto"/>
            </w:tcBorders>
            <w:shd w:val="clear" w:color="auto" w:fill="auto"/>
            <w:vAlign w:val="center"/>
            <w:hideMark/>
          </w:tcPr>
          <w:p w14:paraId="0C3DAE0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 (1%)</w:t>
            </w:r>
          </w:p>
        </w:tc>
        <w:tc>
          <w:tcPr>
            <w:tcW w:w="916" w:type="dxa"/>
            <w:tcBorders>
              <w:top w:val="nil"/>
              <w:left w:val="nil"/>
              <w:bottom w:val="single" w:sz="4" w:space="0" w:color="auto"/>
              <w:right w:val="single" w:sz="4" w:space="0" w:color="auto"/>
            </w:tcBorders>
            <w:shd w:val="clear" w:color="auto" w:fill="auto"/>
            <w:vAlign w:val="center"/>
            <w:hideMark/>
          </w:tcPr>
          <w:p w14:paraId="354A193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 (1%)</w:t>
            </w:r>
          </w:p>
        </w:tc>
        <w:tc>
          <w:tcPr>
            <w:tcW w:w="917" w:type="dxa"/>
            <w:tcBorders>
              <w:top w:val="nil"/>
              <w:left w:val="nil"/>
              <w:bottom w:val="single" w:sz="4" w:space="0" w:color="auto"/>
              <w:right w:val="nil"/>
            </w:tcBorders>
            <w:shd w:val="clear" w:color="auto" w:fill="auto"/>
            <w:vAlign w:val="center"/>
            <w:hideMark/>
          </w:tcPr>
          <w:p w14:paraId="76B6F2B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 (1%)</w:t>
            </w:r>
          </w:p>
        </w:tc>
        <w:tc>
          <w:tcPr>
            <w:tcW w:w="916" w:type="dxa"/>
            <w:tcBorders>
              <w:top w:val="nil"/>
              <w:left w:val="single" w:sz="4" w:space="0" w:color="auto"/>
              <w:bottom w:val="nil"/>
              <w:right w:val="single" w:sz="4" w:space="0" w:color="auto"/>
            </w:tcBorders>
            <w:shd w:val="clear" w:color="auto" w:fill="auto"/>
            <w:vAlign w:val="center"/>
            <w:hideMark/>
          </w:tcPr>
          <w:p w14:paraId="6389D069"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390D3113"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4A207314"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17E9D81A"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3FEE3788"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30D5380B"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Unknown</w:t>
            </w:r>
          </w:p>
        </w:tc>
        <w:tc>
          <w:tcPr>
            <w:tcW w:w="916" w:type="dxa"/>
            <w:tcBorders>
              <w:top w:val="nil"/>
              <w:left w:val="nil"/>
              <w:bottom w:val="single" w:sz="4" w:space="0" w:color="auto"/>
              <w:right w:val="single" w:sz="4" w:space="0" w:color="auto"/>
            </w:tcBorders>
            <w:shd w:val="clear" w:color="auto" w:fill="auto"/>
            <w:vAlign w:val="center"/>
            <w:hideMark/>
          </w:tcPr>
          <w:p w14:paraId="7ED3DD7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42 (4%)</w:t>
            </w:r>
          </w:p>
        </w:tc>
        <w:tc>
          <w:tcPr>
            <w:tcW w:w="916" w:type="dxa"/>
            <w:tcBorders>
              <w:top w:val="nil"/>
              <w:left w:val="nil"/>
              <w:bottom w:val="single" w:sz="4" w:space="0" w:color="auto"/>
              <w:right w:val="single" w:sz="4" w:space="0" w:color="auto"/>
            </w:tcBorders>
            <w:shd w:val="clear" w:color="auto" w:fill="auto"/>
            <w:vAlign w:val="center"/>
            <w:hideMark/>
          </w:tcPr>
          <w:p w14:paraId="20E394B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16 (3%)</w:t>
            </w:r>
          </w:p>
        </w:tc>
        <w:tc>
          <w:tcPr>
            <w:tcW w:w="916" w:type="dxa"/>
            <w:tcBorders>
              <w:top w:val="nil"/>
              <w:left w:val="nil"/>
              <w:bottom w:val="single" w:sz="4" w:space="0" w:color="auto"/>
              <w:right w:val="single" w:sz="4" w:space="0" w:color="auto"/>
            </w:tcBorders>
            <w:shd w:val="clear" w:color="auto" w:fill="auto"/>
            <w:vAlign w:val="center"/>
            <w:hideMark/>
          </w:tcPr>
          <w:p w14:paraId="55CD07C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11 (3%)</w:t>
            </w:r>
          </w:p>
        </w:tc>
        <w:tc>
          <w:tcPr>
            <w:tcW w:w="917" w:type="dxa"/>
            <w:tcBorders>
              <w:top w:val="nil"/>
              <w:left w:val="nil"/>
              <w:bottom w:val="single" w:sz="4" w:space="0" w:color="auto"/>
              <w:right w:val="nil"/>
            </w:tcBorders>
            <w:shd w:val="clear" w:color="auto" w:fill="auto"/>
            <w:vAlign w:val="center"/>
            <w:hideMark/>
          </w:tcPr>
          <w:p w14:paraId="35B001D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15 (5%)</w:t>
            </w:r>
          </w:p>
        </w:tc>
        <w:tc>
          <w:tcPr>
            <w:tcW w:w="916" w:type="dxa"/>
            <w:tcBorders>
              <w:top w:val="nil"/>
              <w:left w:val="single" w:sz="4" w:space="0" w:color="auto"/>
              <w:bottom w:val="nil"/>
              <w:right w:val="single" w:sz="4" w:space="0" w:color="auto"/>
            </w:tcBorders>
            <w:shd w:val="clear" w:color="auto" w:fill="auto"/>
            <w:vAlign w:val="center"/>
            <w:hideMark/>
          </w:tcPr>
          <w:p w14:paraId="3C4420FA"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1CB1D84F"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6DC41F1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3306CE00" w14:textId="77777777" w:rsidTr="00A061AF">
        <w:trPr>
          <w:trHeight w:val="20"/>
        </w:trPr>
        <w:tc>
          <w:tcPr>
            <w:tcW w:w="1357" w:type="dxa"/>
            <w:vMerge w:val="restart"/>
            <w:tcBorders>
              <w:top w:val="nil"/>
              <w:left w:val="single" w:sz="4" w:space="0" w:color="auto"/>
              <w:bottom w:val="single" w:sz="4" w:space="0" w:color="auto"/>
              <w:right w:val="single" w:sz="4" w:space="0" w:color="auto"/>
            </w:tcBorders>
            <w:shd w:val="clear" w:color="auto" w:fill="auto"/>
            <w:vAlign w:val="center"/>
            <w:hideMark/>
          </w:tcPr>
          <w:p w14:paraId="01142502"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Hispanic ethnicity</w:t>
            </w:r>
          </w:p>
        </w:tc>
        <w:tc>
          <w:tcPr>
            <w:tcW w:w="1736" w:type="dxa"/>
            <w:tcBorders>
              <w:top w:val="nil"/>
              <w:left w:val="nil"/>
              <w:bottom w:val="single" w:sz="4" w:space="0" w:color="auto"/>
              <w:right w:val="single" w:sz="4" w:space="0" w:color="auto"/>
            </w:tcBorders>
            <w:shd w:val="clear" w:color="auto" w:fill="auto"/>
            <w:vAlign w:val="center"/>
            <w:hideMark/>
          </w:tcPr>
          <w:p w14:paraId="7CDC5CBE"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Non-Hispanic</w:t>
            </w:r>
          </w:p>
        </w:tc>
        <w:tc>
          <w:tcPr>
            <w:tcW w:w="916" w:type="dxa"/>
            <w:tcBorders>
              <w:top w:val="nil"/>
              <w:left w:val="nil"/>
              <w:bottom w:val="single" w:sz="4" w:space="0" w:color="auto"/>
              <w:right w:val="single" w:sz="4" w:space="0" w:color="auto"/>
            </w:tcBorders>
            <w:shd w:val="clear" w:color="auto" w:fill="auto"/>
            <w:vAlign w:val="center"/>
            <w:hideMark/>
          </w:tcPr>
          <w:p w14:paraId="2CDEECD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753 (65%)</w:t>
            </w:r>
          </w:p>
        </w:tc>
        <w:tc>
          <w:tcPr>
            <w:tcW w:w="916" w:type="dxa"/>
            <w:tcBorders>
              <w:top w:val="nil"/>
              <w:left w:val="nil"/>
              <w:bottom w:val="single" w:sz="4" w:space="0" w:color="auto"/>
              <w:right w:val="single" w:sz="4" w:space="0" w:color="auto"/>
            </w:tcBorders>
            <w:shd w:val="clear" w:color="auto" w:fill="auto"/>
            <w:vAlign w:val="center"/>
            <w:hideMark/>
          </w:tcPr>
          <w:p w14:paraId="7F31F22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320 (68%)</w:t>
            </w:r>
          </w:p>
        </w:tc>
        <w:tc>
          <w:tcPr>
            <w:tcW w:w="916" w:type="dxa"/>
            <w:tcBorders>
              <w:top w:val="nil"/>
              <w:left w:val="nil"/>
              <w:bottom w:val="single" w:sz="4" w:space="0" w:color="auto"/>
              <w:right w:val="single" w:sz="4" w:space="0" w:color="auto"/>
            </w:tcBorders>
            <w:shd w:val="clear" w:color="auto" w:fill="auto"/>
            <w:vAlign w:val="center"/>
            <w:hideMark/>
          </w:tcPr>
          <w:p w14:paraId="3A241637"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218 (60%)</w:t>
            </w:r>
          </w:p>
        </w:tc>
        <w:tc>
          <w:tcPr>
            <w:tcW w:w="917" w:type="dxa"/>
            <w:tcBorders>
              <w:top w:val="nil"/>
              <w:left w:val="nil"/>
              <w:bottom w:val="single" w:sz="4" w:space="0" w:color="auto"/>
              <w:right w:val="nil"/>
            </w:tcBorders>
            <w:shd w:val="clear" w:color="auto" w:fill="auto"/>
            <w:vAlign w:val="center"/>
            <w:hideMark/>
          </w:tcPr>
          <w:p w14:paraId="1575179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215 (66%)</w:t>
            </w:r>
          </w:p>
        </w:tc>
        <w:tc>
          <w:tcPr>
            <w:tcW w:w="916" w:type="dxa"/>
            <w:tcBorders>
              <w:top w:val="single" w:sz="4" w:space="0" w:color="auto"/>
              <w:left w:val="single" w:sz="4" w:space="0" w:color="auto"/>
              <w:bottom w:val="nil"/>
              <w:right w:val="single" w:sz="4" w:space="0" w:color="auto"/>
            </w:tcBorders>
            <w:shd w:val="clear" w:color="auto" w:fill="auto"/>
            <w:vAlign w:val="center"/>
            <w:hideMark/>
          </w:tcPr>
          <w:p w14:paraId="4817E7D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0.020</w:t>
            </w:r>
          </w:p>
        </w:tc>
        <w:tc>
          <w:tcPr>
            <w:tcW w:w="916" w:type="dxa"/>
            <w:tcBorders>
              <w:top w:val="single" w:sz="4" w:space="0" w:color="auto"/>
              <w:left w:val="nil"/>
              <w:bottom w:val="nil"/>
              <w:right w:val="single" w:sz="4" w:space="0" w:color="auto"/>
            </w:tcBorders>
            <w:shd w:val="clear" w:color="auto" w:fill="auto"/>
            <w:vAlign w:val="center"/>
            <w:hideMark/>
          </w:tcPr>
          <w:p w14:paraId="5826A62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0.008</w:t>
            </w:r>
          </w:p>
        </w:tc>
        <w:tc>
          <w:tcPr>
            <w:tcW w:w="917" w:type="dxa"/>
            <w:tcBorders>
              <w:top w:val="single" w:sz="4" w:space="0" w:color="auto"/>
              <w:left w:val="nil"/>
              <w:bottom w:val="nil"/>
              <w:right w:val="single" w:sz="4" w:space="0" w:color="auto"/>
            </w:tcBorders>
            <w:shd w:val="clear" w:color="auto" w:fill="auto"/>
            <w:vAlign w:val="center"/>
            <w:hideMark/>
          </w:tcPr>
          <w:p w14:paraId="5DC03D9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0.917</w:t>
            </w:r>
          </w:p>
        </w:tc>
      </w:tr>
      <w:tr w:rsidR="00ED752C" w:rsidRPr="0085788D" w14:paraId="42CBCF54"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2719A62D"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1E08CD76"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Hispanic</w:t>
            </w:r>
          </w:p>
        </w:tc>
        <w:tc>
          <w:tcPr>
            <w:tcW w:w="916" w:type="dxa"/>
            <w:tcBorders>
              <w:top w:val="nil"/>
              <w:left w:val="nil"/>
              <w:bottom w:val="single" w:sz="4" w:space="0" w:color="auto"/>
              <w:right w:val="single" w:sz="4" w:space="0" w:color="auto"/>
            </w:tcBorders>
            <w:shd w:val="clear" w:color="auto" w:fill="auto"/>
            <w:vAlign w:val="center"/>
            <w:hideMark/>
          </w:tcPr>
          <w:p w14:paraId="52BEFBC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364 (31%)</w:t>
            </w:r>
          </w:p>
        </w:tc>
        <w:tc>
          <w:tcPr>
            <w:tcW w:w="916" w:type="dxa"/>
            <w:tcBorders>
              <w:top w:val="nil"/>
              <w:left w:val="nil"/>
              <w:bottom w:val="single" w:sz="4" w:space="0" w:color="auto"/>
              <w:right w:val="single" w:sz="4" w:space="0" w:color="auto"/>
            </w:tcBorders>
            <w:shd w:val="clear" w:color="auto" w:fill="auto"/>
            <w:vAlign w:val="center"/>
            <w:hideMark/>
          </w:tcPr>
          <w:p w14:paraId="03CE38A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133 (28%)</w:t>
            </w:r>
          </w:p>
        </w:tc>
        <w:tc>
          <w:tcPr>
            <w:tcW w:w="916" w:type="dxa"/>
            <w:tcBorders>
              <w:top w:val="nil"/>
              <w:left w:val="nil"/>
              <w:bottom w:val="single" w:sz="4" w:space="0" w:color="auto"/>
              <w:right w:val="single" w:sz="4" w:space="0" w:color="auto"/>
            </w:tcBorders>
            <w:shd w:val="clear" w:color="auto" w:fill="auto"/>
            <w:vAlign w:val="center"/>
            <w:hideMark/>
          </w:tcPr>
          <w:p w14:paraId="195FD7A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138 (38%)</w:t>
            </w:r>
          </w:p>
        </w:tc>
        <w:tc>
          <w:tcPr>
            <w:tcW w:w="917" w:type="dxa"/>
            <w:tcBorders>
              <w:top w:val="nil"/>
              <w:left w:val="nil"/>
              <w:bottom w:val="single" w:sz="4" w:space="0" w:color="auto"/>
              <w:right w:val="nil"/>
            </w:tcBorders>
            <w:shd w:val="clear" w:color="auto" w:fill="auto"/>
            <w:vAlign w:val="center"/>
            <w:hideMark/>
          </w:tcPr>
          <w:p w14:paraId="0CDFEC1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93 (29%)</w:t>
            </w:r>
          </w:p>
        </w:tc>
        <w:tc>
          <w:tcPr>
            <w:tcW w:w="916" w:type="dxa"/>
            <w:tcBorders>
              <w:top w:val="nil"/>
              <w:left w:val="single" w:sz="4" w:space="0" w:color="auto"/>
              <w:bottom w:val="nil"/>
              <w:right w:val="single" w:sz="4" w:space="0" w:color="auto"/>
            </w:tcBorders>
            <w:shd w:val="clear" w:color="auto" w:fill="auto"/>
            <w:vAlign w:val="center"/>
            <w:hideMark/>
          </w:tcPr>
          <w:p w14:paraId="05721052"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03E8CFF7"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157EF6B9"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22F517FF"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1FDDA53B"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15188880"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Unknown</w:t>
            </w:r>
          </w:p>
        </w:tc>
        <w:tc>
          <w:tcPr>
            <w:tcW w:w="916" w:type="dxa"/>
            <w:tcBorders>
              <w:top w:val="nil"/>
              <w:left w:val="nil"/>
              <w:bottom w:val="single" w:sz="4" w:space="0" w:color="auto"/>
              <w:right w:val="single" w:sz="4" w:space="0" w:color="auto"/>
            </w:tcBorders>
            <w:shd w:val="clear" w:color="auto" w:fill="auto"/>
            <w:vAlign w:val="center"/>
            <w:hideMark/>
          </w:tcPr>
          <w:p w14:paraId="6939559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47 (4%)</w:t>
            </w:r>
          </w:p>
        </w:tc>
        <w:tc>
          <w:tcPr>
            <w:tcW w:w="916" w:type="dxa"/>
            <w:tcBorders>
              <w:top w:val="nil"/>
              <w:left w:val="nil"/>
              <w:bottom w:val="single" w:sz="4" w:space="0" w:color="auto"/>
              <w:right w:val="single" w:sz="4" w:space="0" w:color="auto"/>
            </w:tcBorders>
            <w:shd w:val="clear" w:color="auto" w:fill="auto"/>
            <w:vAlign w:val="center"/>
            <w:hideMark/>
          </w:tcPr>
          <w:p w14:paraId="5795597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21 (4%)</w:t>
            </w:r>
          </w:p>
        </w:tc>
        <w:tc>
          <w:tcPr>
            <w:tcW w:w="916" w:type="dxa"/>
            <w:tcBorders>
              <w:top w:val="nil"/>
              <w:left w:val="nil"/>
              <w:bottom w:val="single" w:sz="4" w:space="0" w:color="auto"/>
              <w:right w:val="single" w:sz="4" w:space="0" w:color="auto"/>
            </w:tcBorders>
            <w:shd w:val="clear" w:color="auto" w:fill="auto"/>
            <w:vAlign w:val="center"/>
            <w:hideMark/>
          </w:tcPr>
          <w:p w14:paraId="1795513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10 (3%)</w:t>
            </w:r>
          </w:p>
        </w:tc>
        <w:tc>
          <w:tcPr>
            <w:tcW w:w="917" w:type="dxa"/>
            <w:tcBorders>
              <w:top w:val="nil"/>
              <w:left w:val="nil"/>
              <w:bottom w:val="single" w:sz="4" w:space="0" w:color="auto"/>
              <w:right w:val="nil"/>
            </w:tcBorders>
            <w:shd w:val="clear" w:color="auto" w:fill="auto"/>
            <w:vAlign w:val="center"/>
            <w:hideMark/>
          </w:tcPr>
          <w:p w14:paraId="56598CE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16 (5%)</w:t>
            </w:r>
          </w:p>
        </w:tc>
        <w:tc>
          <w:tcPr>
            <w:tcW w:w="916" w:type="dxa"/>
            <w:tcBorders>
              <w:top w:val="nil"/>
              <w:left w:val="single" w:sz="4" w:space="0" w:color="auto"/>
              <w:bottom w:val="single" w:sz="4" w:space="0" w:color="auto"/>
              <w:right w:val="single" w:sz="4" w:space="0" w:color="auto"/>
            </w:tcBorders>
            <w:shd w:val="clear" w:color="auto" w:fill="auto"/>
            <w:vAlign w:val="center"/>
            <w:hideMark/>
          </w:tcPr>
          <w:p w14:paraId="447FAFFE"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single" w:sz="4" w:space="0" w:color="auto"/>
              <w:right w:val="single" w:sz="4" w:space="0" w:color="auto"/>
            </w:tcBorders>
            <w:shd w:val="clear" w:color="auto" w:fill="auto"/>
            <w:vAlign w:val="center"/>
            <w:hideMark/>
          </w:tcPr>
          <w:p w14:paraId="718F8BF2"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single" w:sz="4" w:space="0" w:color="auto"/>
              <w:right w:val="single" w:sz="4" w:space="0" w:color="auto"/>
            </w:tcBorders>
            <w:shd w:val="clear" w:color="auto" w:fill="auto"/>
            <w:vAlign w:val="center"/>
            <w:hideMark/>
          </w:tcPr>
          <w:p w14:paraId="2AF8B99A"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2CA9498B" w14:textId="77777777" w:rsidTr="00A061AF">
        <w:trPr>
          <w:trHeight w:val="20"/>
        </w:trPr>
        <w:tc>
          <w:tcPr>
            <w:tcW w:w="1357" w:type="dxa"/>
            <w:vMerge w:val="restart"/>
            <w:tcBorders>
              <w:top w:val="nil"/>
              <w:left w:val="single" w:sz="4" w:space="0" w:color="auto"/>
              <w:bottom w:val="single" w:sz="4" w:space="0" w:color="auto"/>
              <w:right w:val="single" w:sz="4" w:space="0" w:color="auto"/>
            </w:tcBorders>
            <w:shd w:val="clear" w:color="auto" w:fill="auto"/>
            <w:vAlign w:val="center"/>
            <w:hideMark/>
          </w:tcPr>
          <w:p w14:paraId="2FA65D51"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Comorbidities</w:t>
            </w:r>
          </w:p>
        </w:tc>
        <w:tc>
          <w:tcPr>
            <w:tcW w:w="1736" w:type="dxa"/>
            <w:tcBorders>
              <w:top w:val="nil"/>
              <w:left w:val="nil"/>
              <w:bottom w:val="single" w:sz="4" w:space="0" w:color="auto"/>
              <w:right w:val="single" w:sz="4" w:space="0" w:color="auto"/>
            </w:tcBorders>
            <w:shd w:val="clear" w:color="auto" w:fill="auto"/>
            <w:vAlign w:val="center"/>
            <w:hideMark/>
          </w:tcPr>
          <w:p w14:paraId="1C56B170"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None</w:t>
            </w:r>
          </w:p>
        </w:tc>
        <w:tc>
          <w:tcPr>
            <w:tcW w:w="916" w:type="dxa"/>
            <w:tcBorders>
              <w:top w:val="nil"/>
              <w:left w:val="nil"/>
              <w:bottom w:val="single" w:sz="4" w:space="0" w:color="auto"/>
              <w:right w:val="single" w:sz="4" w:space="0" w:color="auto"/>
            </w:tcBorders>
            <w:shd w:val="clear" w:color="auto" w:fill="auto"/>
            <w:vAlign w:val="center"/>
            <w:hideMark/>
          </w:tcPr>
          <w:p w14:paraId="44E1D45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68 (6%)</w:t>
            </w:r>
          </w:p>
        </w:tc>
        <w:tc>
          <w:tcPr>
            <w:tcW w:w="916" w:type="dxa"/>
            <w:tcBorders>
              <w:top w:val="nil"/>
              <w:left w:val="nil"/>
              <w:bottom w:val="single" w:sz="4" w:space="0" w:color="auto"/>
              <w:right w:val="single" w:sz="4" w:space="0" w:color="auto"/>
            </w:tcBorders>
            <w:shd w:val="clear" w:color="auto" w:fill="auto"/>
            <w:vAlign w:val="center"/>
            <w:hideMark/>
          </w:tcPr>
          <w:p w14:paraId="269B6EA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31 (7%)</w:t>
            </w:r>
          </w:p>
        </w:tc>
        <w:tc>
          <w:tcPr>
            <w:tcW w:w="916" w:type="dxa"/>
            <w:tcBorders>
              <w:top w:val="nil"/>
              <w:left w:val="nil"/>
              <w:bottom w:val="single" w:sz="4" w:space="0" w:color="auto"/>
              <w:right w:val="single" w:sz="4" w:space="0" w:color="auto"/>
            </w:tcBorders>
            <w:shd w:val="clear" w:color="auto" w:fill="auto"/>
            <w:vAlign w:val="center"/>
            <w:hideMark/>
          </w:tcPr>
          <w:p w14:paraId="33F1228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18 (5%)</w:t>
            </w:r>
          </w:p>
        </w:tc>
        <w:tc>
          <w:tcPr>
            <w:tcW w:w="917" w:type="dxa"/>
            <w:tcBorders>
              <w:top w:val="nil"/>
              <w:left w:val="nil"/>
              <w:bottom w:val="single" w:sz="4" w:space="0" w:color="auto"/>
              <w:right w:val="single" w:sz="4" w:space="0" w:color="auto"/>
            </w:tcBorders>
            <w:shd w:val="clear" w:color="auto" w:fill="auto"/>
            <w:vAlign w:val="center"/>
            <w:hideMark/>
          </w:tcPr>
          <w:p w14:paraId="44C7A7A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19 (6%)</w:t>
            </w:r>
          </w:p>
        </w:tc>
        <w:tc>
          <w:tcPr>
            <w:tcW w:w="916" w:type="dxa"/>
            <w:tcBorders>
              <w:top w:val="nil"/>
              <w:left w:val="nil"/>
              <w:bottom w:val="single" w:sz="4" w:space="0" w:color="auto"/>
              <w:right w:val="single" w:sz="4" w:space="0" w:color="auto"/>
            </w:tcBorders>
            <w:shd w:val="clear" w:color="auto" w:fill="auto"/>
            <w:vAlign w:val="center"/>
            <w:hideMark/>
          </w:tcPr>
          <w:p w14:paraId="3A76C9F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0.039</w:t>
            </w:r>
          </w:p>
        </w:tc>
        <w:tc>
          <w:tcPr>
            <w:tcW w:w="916" w:type="dxa"/>
            <w:tcBorders>
              <w:top w:val="nil"/>
              <w:left w:val="nil"/>
              <w:bottom w:val="single" w:sz="4" w:space="0" w:color="auto"/>
              <w:right w:val="single" w:sz="4" w:space="0" w:color="auto"/>
            </w:tcBorders>
            <w:shd w:val="clear" w:color="auto" w:fill="auto"/>
            <w:vAlign w:val="center"/>
            <w:hideMark/>
          </w:tcPr>
          <w:p w14:paraId="7A2EF9F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0.173</w:t>
            </w:r>
          </w:p>
        </w:tc>
        <w:tc>
          <w:tcPr>
            <w:tcW w:w="917" w:type="dxa"/>
            <w:tcBorders>
              <w:top w:val="nil"/>
              <w:left w:val="nil"/>
              <w:bottom w:val="single" w:sz="4" w:space="0" w:color="auto"/>
              <w:right w:val="single" w:sz="4" w:space="0" w:color="auto"/>
            </w:tcBorders>
            <w:shd w:val="clear" w:color="auto" w:fill="auto"/>
            <w:vAlign w:val="center"/>
            <w:hideMark/>
          </w:tcPr>
          <w:p w14:paraId="7737A45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0.114</w:t>
            </w:r>
          </w:p>
        </w:tc>
      </w:tr>
      <w:tr w:rsidR="00ED752C" w:rsidRPr="0085788D" w14:paraId="17949A7F"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75773787"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799A34AB"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Hypertension</w:t>
            </w:r>
          </w:p>
        </w:tc>
        <w:tc>
          <w:tcPr>
            <w:tcW w:w="916" w:type="dxa"/>
            <w:tcBorders>
              <w:top w:val="nil"/>
              <w:left w:val="nil"/>
              <w:bottom w:val="single" w:sz="4" w:space="0" w:color="auto"/>
              <w:right w:val="single" w:sz="4" w:space="0" w:color="auto"/>
            </w:tcBorders>
            <w:shd w:val="clear" w:color="auto" w:fill="auto"/>
            <w:vAlign w:val="center"/>
            <w:hideMark/>
          </w:tcPr>
          <w:p w14:paraId="2BE3836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677 (58%)</w:t>
            </w:r>
          </w:p>
        </w:tc>
        <w:tc>
          <w:tcPr>
            <w:tcW w:w="916" w:type="dxa"/>
            <w:tcBorders>
              <w:top w:val="nil"/>
              <w:left w:val="nil"/>
              <w:bottom w:val="single" w:sz="4" w:space="0" w:color="auto"/>
              <w:right w:val="single" w:sz="4" w:space="0" w:color="auto"/>
            </w:tcBorders>
            <w:shd w:val="clear" w:color="auto" w:fill="auto"/>
            <w:vAlign w:val="center"/>
            <w:hideMark/>
          </w:tcPr>
          <w:p w14:paraId="5235B77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266 (56%)</w:t>
            </w:r>
          </w:p>
        </w:tc>
        <w:tc>
          <w:tcPr>
            <w:tcW w:w="916" w:type="dxa"/>
            <w:tcBorders>
              <w:top w:val="nil"/>
              <w:left w:val="nil"/>
              <w:bottom w:val="single" w:sz="4" w:space="0" w:color="auto"/>
              <w:right w:val="single" w:sz="4" w:space="0" w:color="auto"/>
            </w:tcBorders>
            <w:shd w:val="clear" w:color="auto" w:fill="auto"/>
            <w:vAlign w:val="center"/>
            <w:hideMark/>
          </w:tcPr>
          <w:p w14:paraId="71CBA23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209 (57%)</w:t>
            </w:r>
          </w:p>
        </w:tc>
        <w:tc>
          <w:tcPr>
            <w:tcW w:w="917" w:type="dxa"/>
            <w:tcBorders>
              <w:top w:val="nil"/>
              <w:left w:val="nil"/>
              <w:bottom w:val="single" w:sz="4" w:space="0" w:color="auto"/>
              <w:right w:val="single" w:sz="4" w:space="0" w:color="auto"/>
            </w:tcBorders>
            <w:shd w:val="clear" w:color="auto" w:fill="auto"/>
            <w:vAlign w:val="center"/>
            <w:hideMark/>
          </w:tcPr>
          <w:p w14:paraId="2C1B50A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202 (62%)</w:t>
            </w:r>
          </w:p>
        </w:tc>
        <w:tc>
          <w:tcPr>
            <w:tcW w:w="916" w:type="dxa"/>
            <w:tcBorders>
              <w:top w:val="nil"/>
              <w:left w:val="nil"/>
              <w:bottom w:val="single" w:sz="4" w:space="0" w:color="auto"/>
              <w:right w:val="single" w:sz="4" w:space="0" w:color="auto"/>
            </w:tcBorders>
            <w:shd w:val="clear" w:color="auto" w:fill="auto"/>
            <w:vAlign w:val="center"/>
            <w:hideMark/>
          </w:tcPr>
          <w:p w14:paraId="2EF2F35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0.191</w:t>
            </w:r>
          </w:p>
        </w:tc>
        <w:tc>
          <w:tcPr>
            <w:tcW w:w="916" w:type="dxa"/>
            <w:tcBorders>
              <w:top w:val="nil"/>
              <w:left w:val="nil"/>
              <w:bottom w:val="single" w:sz="4" w:space="0" w:color="auto"/>
              <w:right w:val="single" w:sz="4" w:space="0" w:color="auto"/>
            </w:tcBorders>
            <w:shd w:val="clear" w:color="auto" w:fill="auto"/>
            <w:vAlign w:val="center"/>
            <w:hideMark/>
          </w:tcPr>
          <w:p w14:paraId="396CFE3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0.775</w:t>
            </w:r>
          </w:p>
        </w:tc>
        <w:tc>
          <w:tcPr>
            <w:tcW w:w="917" w:type="dxa"/>
            <w:tcBorders>
              <w:top w:val="nil"/>
              <w:left w:val="nil"/>
              <w:bottom w:val="single" w:sz="4" w:space="0" w:color="auto"/>
              <w:right w:val="single" w:sz="4" w:space="0" w:color="auto"/>
            </w:tcBorders>
            <w:shd w:val="clear" w:color="auto" w:fill="auto"/>
            <w:vAlign w:val="center"/>
            <w:hideMark/>
          </w:tcPr>
          <w:p w14:paraId="25610F4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0.079</w:t>
            </w:r>
          </w:p>
        </w:tc>
      </w:tr>
      <w:tr w:rsidR="00ED752C" w:rsidRPr="0085788D" w14:paraId="3A823A7D"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3AF7C358"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4E0DCC34"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Diabetes</w:t>
            </w:r>
          </w:p>
        </w:tc>
        <w:tc>
          <w:tcPr>
            <w:tcW w:w="916" w:type="dxa"/>
            <w:tcBorders>
              <w:top w:val="nil"/>
              <w:left w:val="nil"/>
              <w:bottom w:val="single" w:sz="4" w:space="0" w:color="auto"/>
              <w:right w:val="single" w:sz="4" w:space="0" w:color="auto"/>
            </w:tcBorders>
            <w:shd w:val="clear" w:color="auto" w:fill="auto"/>
            <w:vAlign w:val="center"/>
            <w:hideMark/>
          </w:tcPr>
          <w:p w14:paraId="025FBA7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427 (37%)</w:t>
            </w:r>
          </w:p>
        </w:tc>
        <w:tc>
          <w:tcPr>
            <w:tcW w:w="916" w:type="dxa"/>
            <w:tcBorders>
              <w:top w:val="nil"/>
              <w:left w:val="nil"/>
              <w:bottom w:val="single" w:sz="4" w:space="0" w:color="auto"/>
              <w:right w:val="single" w:sz="4" w:space="0" w:color="auto"/>
            </w:tcBorders>
            <w:shd w:val="clear" w:color="auto" w:fill="auto"/>
            <w:vAlign w:val="center"/>
            <w:hideMark/>
          </w:tcPr>
          <w:p w14:paraId="2D80227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161 (34%)</w:t>
            </w:r>
          </w:p>
        </w:tc>
        <w:tc>
          <w:tcPr>
            <w:tcW w:w="916" w:type="dxa"/>
            <w:tcBorders>
              <w:top w:val="nil"/>
              <w:left w:val="nil"/>
              <w:bottom w:val="single" w:sz="4" w:space="0" w:color="auto"/>
              <w:right w:val="single" w:sz="4" w:space="0" w:color="auto"/>
            </w:tcBorders>
            <w:shd w:val="clear" w:color="auto" w:fill="auto"/>
            <w:vAlign w:val="center"/>
            <w:hideMark/>
          </w:tcPr>
          <w:p w14:paraId="27B72FE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138 (38%)</w:t>
            </w:r>
          </w:p>
        </w:tc>
        <w:tc>
          <w:tcPr>
            <w:tcW w:w="917" w:type="dxa"/>
            <w:tcBorders>
              <w:top w:val="nil"/>
              <w:left w:val="nil"/>
              <w:bottom w:val="single" w:sz="4" w:space="0" w:color="auto"/>
              <w:right w:val="single" w:sz="4" w:space="0" w:color="auto"/>
            </w:tcBorders>
            <w:shd w:val="clear" w:color="auto" w:fill="auto"/>
            <w:vAlign w:val="center"/>
            <w:hideMark/>
          </w:tcPr>
          <w:p w14:paraId="39B4DD3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128 (40%)</w:t>
            </w:r>
          </w:p>
        </w:tc>
        <w:tc>
          <w:tcPr>
            <w:tcW w:w="916" w:type="dxa"/>
            <w:tcBorders>
              <w:top w:val="nil"/>
              <w:left w:val="nil"/>
              <w:bottom w:val="single" w:sz="4" w:space="0" w:color="auto"/>
              <w:right w:val="single" w:sz="4" w:space="0" w:color="auto"/>
            </w:tcBorders>
            <w:shd w:val="clear" w:color="auto" w:fill="auto"/>
            <w:vAlign w:val="center"/>
            <w:hideMark/>
          </w:tcPr>
          <w:p w14:paraId="6A97B1A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0.249</w:t>
            </w:r>
          </w:p>
        </w:tc>
        <w:tc>
          <w:tcPr>
            <w:tcW w:w="916" w:type="dxa"/>
            <w:tcBorders>
              <w:top w:val="nil"/>
              <w:left w:val="nil"/>
              <w:bottom w:val="single" w:sz="4" w:space="0" w:color="auto"/>
              <w:right w:val="single" w:sz="4" w:space="0" w:color="auto"/>
            </w:tcBorders>
            <w:shd w:val="clear" w:color="auto" w:fill="auto"/>
            <w:vAlign w:val="center"/>
            <w:hideMark/>
          </w:tcPr>
          <w:p w14:paraId="5887BE6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0.262</w:t>
            </w:r>
          </w:p>
        </w:tc>
        <w:tc>
          <w:tcPr>
            <w:tcW w:w="917" w:type="dxa"/>
            <w:tcBorders>
              <w:top w:val="nil"/>
              <w:left w:val="nil"/>
              <w:bottom w:val="single" w:sz="4" w:space="0" w:color="auto"/>
              <w:right w:val="single" w:sz="4" w:space="0" w:color="auto"/>
            </w:tcBorders>
            <w:shd w:val="clear" w:color="auto" w:fill="auto"/>
            <w:vAlign w:val="center"/>
            <w:hideMark/>
          </w:tcPr>
          <w:p w14:paraId="6AA0EBC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0.110</w:t>
            </w:r>
          </w:p>
        </w:tc>
      </w:tr>
      <w:tr w:rsidR="00ED752C" w:rsidRPr="0085788D" w14:paraId="4C7DC0FA"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310A974A"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7E5ACF77"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Chronic lung disease</w:t>
            </w:r>
          </w:p>
        </w:tc>
        <w:tc>
          <w:tcPr>
            <w:tcW w:w="916" w:type="dxa"/>
            <w:tcBorders>
              <w:top w:val="nil"/>
              <w:left w:val="nil"/>
              <w:bottom w:val="single" w:sz="4" w:space="0" w:color="auto"/>
              <w:right w:val="single" w:sz="4" w:space="0" w:color="auto"/>
            </w:tcBorders>
            <w:shd w:val="clear" w:color="auto" w:fill="auto"/>
            <w:vAlign w:val="center"/>
            <w:hideMark/>
          </w:tcPr>
          <w:p w14:paraId="7CD6036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235 (20%)</w:t>
            </w:r>
          </w:p>
        </w:tc>
        <w:tc>
          <w:tcPr>
            <w:tcW w:w="916" w:type="dxa"/>
            <w:tcBorders>
              <w:top w:val="nil"/>
              <w:left w:val="nil"/>
              <w:bottom w:val="single" w:sz="4" w:space="0" w:color="auto"/>
              <w:right w:val="single" w:sz="4" w:space="0" w:color="auto"/>
            </w:tcBorders>
            <w:shd w:val="clear" w:color="auto" w:fill="auto"/>
            <w:vAlign w:val="center"/>
            <w:hideMark/>
          </w:tcPr>
          <w:p w14:paraId="394DC4A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86 (18%)</w:t>
            </w:r>
          </w:p>
        </w:tc>
        <w:tc>
          <w:tcPr>
            <w:tcW w:w="916" w:type="dxa"/>
            <w:tcBorders>
              <w:top w:val="nil"/>
              <w:left w:val="nil"/>
              <w:bottom w:val="single" w:sz="4" w:space="0" w:color="auto"/>
              <w:right w:val="single" w:sz="4" w:space="0" w:color="auto"/>
            </w:tcBorders>
            <w:shd w:val="clear" w:color="auto" w:fill="auto"/>
            <w:vAlign w:val="center"/>
            <w:hideMark/>
          </w:tcPr>
          <w:p w14:paraId="777E686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67 (18%)</w:t>
            </w:r>
          </w:p>
        </w:tc>
        <w:tc>
          <w:tcPr>
            <w:tcW w:w="917" w:type="dxa"/>
            <w:tcBorders>
              <w:top w:val="nil"/>
              <w:left w:val="nil"/>
              <w:bottom w:val="single" w:sz="4" w:space="0" w:color="auto"/>
              <w:right w:val="single" w:sz="4" w:space="0" w:color="auto"/>
            </w:tcBorders>
            <w:shd w:val="clear" w:color="auto" w:fill="auto"/>
            <w:vAlign w:val="center"/>
            <w:hideMark/>
          </w:tcPr>
          <w:p w14:paraId="4779000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82 (25%)</w:t>
            </w:r>
          </w:p>
        </w:tc>
        <w:tc>
          <w:tcPr>
            <w:tcW w:w="916" w:type="dxa"/>
            <w:tcBorders>
              <w:top w:val="nil"/>
              <w:left w:val="nil"/>
              <w:bottom w:val="single" w:sz="4" w:space="0" w:color="auto"/>
              <w:right w:val="single" w:sz="4" w:space="0" w:color="auto"/>
            </w:tcBorders>
            <w:shd w:val="clear" w:color="auto" w:fill="auto"/>
            <w:vAlign w:val="center"/>
            <w:hideMark/>
          </w:tcPr>
          <w:p w14:paraId="0803E6A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0.026</w:t>
            </w:r>
          </w:p>
        </w:tc>
        <w:tc>
          <w:tcPr>
            <w:tcW w:w="916" w:type="dxa"/>
            <w:tcBorders>
              <w:top w:val="nil"/>
              <w:left w:val="nil"/>
              <w:bottom w:val="single" w:sz="4" w:space="0" w:color="auto"/>
              <w:right w:val="single" w:sz="4" w:space="0" w:color="auto"/>
            </w:tcBorders>
            <w:shd w:val="clear" w:color="auto" w:fill="auto"/>
            <w:vAlign w:val="center"/>
            <w:hideMark/>
          </w:tcPr>
          <w:p w14:paraId="18B3D4F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0.952</w:t>
            </w:r>
          </w:p>
        </w:tc>
        <w:tc>
          <w:tcPr>
            <w:tcW w:w="917" w:type="dxa"/>
            <w:tcBorders>
              <w:top w:val="nil"/>
              <w:left w:val="nil"/>
              <w:bottom w:val="single" w:sz="4" w:space="0" w:color="auto"/>
              <w:right w:val="single" w:sz="4" w:space="0" w:color="auto"/>
            </w:tcBorders>
            <w:shd w:val="clear" w:color="auto" w:fill="auto"/>
            <w:vAlign w:val="center"/>
            <w:hideMark/>
          </w:tcPr>
          <w:p w14:paraId="45FE6BE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0.015</w:t>
            </w:r>
          </w:p>
        </w:tc>
      </w:tr>
      <w:tr w:rsidR="00ED752C" w:rsidRPr="0085788D" w14:paraId="400B0321"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0F6104AD"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17FD09C3"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Asthma</w:t>
            </w:r>
          </w:p>
        </w:tc>
        <w:tc>
          <w:tcPr>
            <w:tcW w:w="916" w:type="dxa"/>
            <w:tcBorders>
              <w:top w:val="nil"/>
              <w:left w:val="nil"/>
              <w:bottom w:val="single" w:sz="4" w:space="0" w:color="auto"/>
              <w:right w:val="single" w:sz="4" w:space="0" w:color="auto"/>
            </w:tcBorders>
            <w:shd w:val="clear" w:color="auto" w:fill="auto"/>
            <w:vAlign w:val="center"/>
            <w:hideMark/>
          </w:tcPr>
          <w:p w14:paraId="616C380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174 (15%)</w:t>
            </w:r>
          </w:p>
        </w:tc>
        <w:tc>
          <w:tcPr>
            <w:tcW w:w="916" w:type="dxa"/>
            <w:tcBorders>
              <w:top w:val="nil"/>
              <w:left w:val="nil"/>
              <w:bottom w:val="single" w:sz="4" w:space="0" w:color="auto"/>
              <w:right w:val="single" w:sz="4" w:space="0" w:color="auto"/>
            </w:tcBorders>
            <w:shd w:val="clear" w:color="auto" w:fill="auto"/>
            <w:vAlign w:val="center"/>
            <w:hideMark/>
          </w:tcPr>
          <w:p w14:paraId="0FAF767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75 (16%)</w:t>
            </w:r>
          </w:p>
        </w:tc>
        <w:tc>
          <w:tcPr>
            <w:tcW w:w="916" w:type="dxa"/>
            <w:tcBorders>
              <w:top w:val="nil"/>
              <w:left w:val="nil"/>
              <w:bottom w:val="single" w:sz="4" w:space="0" w:color="auto"/>
              <w:right w:val="single" w:sz="4" w:space="0" w:color="auto"/>
            </w:tcBorders>
            <w:shd w:val="clear" w:color="auto" w:fill="auto"/>
            <w:vAlign w:val="center"/>
            <w:hideMark/>
          </w:tcPr>
          <w:p w14:paraId="59604CA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48 (13%)</w:t>
            </w:r>
          </w:p>
        </w:tc>
        <w:tc>
          <w:tcPr>
            <w:tcW w:w="917" w:type="dxa"/>
            <w:tcBorders>
              <w:top w:val="nil"/>
              <w:left w:val="nil"/>
              <w:bottom w:val="single" w:sz="4" w:space="0" w:color="auto"/>
              <w:right w:val="single" w:sz="4" w:space="0" w:color="auto"/>
            </w:tcBorders>
            <w:shd w:val="clear" w:color="auto" w:fill="auto"/>
            <w:vAlign w:val="center"/>
            <w:hideMark/>
          </w:tcPr>
          <w:p w14:paraId="5E68AC6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51 (16%)</w:t>
            </w:r>
          </w:p>
        </w:tc>
        <w:tc>
          <w:tcPr>
            <w:tcW w:w="916" w:type="dxa"/>
            <w:tcBorders>
              <w:top w:val="nil"/>
              <w:left w:val="nil"/>
              <w:bottom w:val="single" w:sz="4" w:space="0" w:color="auto"/>
              <w:right w:val="single" w:sz="4" w:space="0" w:color="auto"/>
            </w:tcBorders>
            <w:shd w:val="clear" w:color="auto" w:fill="auto"/>
            <w:vAlign w:val="center"/>
            <w:hideMark/>
          </w:tcPr>
          <w:p w14:paraId="70ABE00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0.493</w:t>
            </w:r>
          </w:p>
        </w:tc>
        <w:tc>
          <w:tcPr>
            <w:tcW w:w="916" w:type="dxa"/>
            <w:tcBorders>
              <w:top w:val="nil"/>
              <w:left w:val="nil"/>
              <w:bottom w:val="single" w:sz="4" w:space="0" w:color="auto"/>
              <w:right w:val="single" w:sz="4" w:space="0" w:color="auto"/>
            </w:tcBorders>
            <w:shd w:val="clear" w:color="auto" w:fill="auto"/>
            <w:vAlign w:val="center"/>
            <w:hideMark/>
          </w:tcPr>
          <w:p w14:paraId="0CBE9E9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0.271</w:t>
            </w:r>
          </w:p>
        </w:tc>
        <w:tc>
          <w:tcPr>
            <w:tcW w:w="917" w:type="dxa"/>
            <w:tcBorders>
              <w:top w:val="nil"/>
              <w:left w:val="nil"/>
              <w:bottom w:val="single" w:sz="4" w:space="0" w:color="auto"/>
              <w:right w:val="single" w:sz="4" w:space="0" w:color="auto"/>
            </w:tcBorders>
            <w:shd w:val="clear" w:color="auto" w:fill="auto"/>
            <w:vAlign w:val="center"/>
            <w:hideMark/>
          </w:tcPr>
          <w:p w14:paraId="07D6371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0.975</w:t>
            </w:r>
          </w:p>
        </w:tc>
      </w:tr>
      <w:tr w:rsidR="00ED752C" w:rsidRPr="0085788D" w14:paraId="5E3F5752"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0183EA2D"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3CBB6404"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Chronic cardiac disease</w:t>
            </w:r>
          </w:p>
        </w:tc>
        <w:tc>
          <w:tcPr>
            <w:tcW w:w="916" w:type="dxa"/>
            <w:tcBorders>
              <w:top w:val="nil"/>
              <w:left w:val="nil"/>
              <w:bottom w:val="single" w:sz="4" w:space="0" w:color="auto"/>
              <w:right w:val="single" w:sz="4" w:space="0" w:color="auto"/>
            </w:tcBorders>
            <w:shd w:val="clear" w:color="auto" w:fill="auto"/>
            <w:vAlign w:val="center"/>
            <w:hideMark/>
          </w:tcPr>
          <w:p w14:paraId="7BF8B29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315 (27%)</w:t>
            </w:r>
          </w:p>
        </w:tc>
        <w:tc>
          <w:tcPr>
            <w:tcW w:w="916" w:type="dxa"/>
            <w:tcBorders>
              <w:top w:val="nil"/>
              <w:left w:val="nil"/>
              <w:bottom w:val="single" w:sz="4" w:space="0" w:color="auto"/>
              <w:right w:val="single" w:sz="4" w:space="0" w:color="auto"/>
            </w:tcBorders>
            <w:shd w:val="clear" w:color="auto" w:fill="auto"/>
            <w:vAlign w:val="center"/>
            <w:hideMark/>
          </w:tcPr>
          <w:p w14:paraId="0EE9091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140 (30%)</w:t>
            </w:r>
          </w:p>
        </w:tc>
        <w:tc>
          <w:tcPr>
            <w:tcW w:w="916" w:type="dxa"/>
            <w:tcBorders>
              <w:top w:val="nil"/>
              <w:left w:val="nil"/>
              <w:bottom w:val="single" w:sz="4" w:space="0" w:color="auto"/>
              <w:right w:val="single" w:sz="4" w:space="0" w:color="auto"/>
            </w:tcBorders>
            <w:shd w:val="clear" w:color="auto" w:fill="auto"/>
            <w:vAlign w:val="center"/>
            <w:hideMark/>
          </w:tcPr>
          <w:p w14:paraId="1D0E083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77 (21%)</w:t>
            </w:r>
          </w:p>
        </w:tc>
        <w:tc>
          <w:tcPr>
            <w:tcW w:w="917" w:type="dxa"/>
            <w:tcBorders>
              <w:top w:val="nil"/>
              <w:left w:val="nil"/>
              <w:bottom w:val="single" w:sz="4" w:space="0" w:color="auto"/>
              <w:right w:val="single" w:sz="4" w:space="0" w:color="auto"/>
            </w:tcBorders>
            <w:shd w:val="clear" w:color="auto" w:fill="auto"/>
            <w:vAlign w:val="center"/>
            <w:hideMark/>
          </w:tcPr>
          <w:p w14:paraId="3E5E693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98 (30%)</w:t>
            </w:r>
          </w:p>
        </w:tc>
        <w:tc>
          <w:tcPr>
            <w:tcW w:w="916" w:type="dxa"/>
            <w:tcBorders>
              <w:top w:val="nil"/>
              <w:left w:val="nil"/>
              <w:bottom w:val="single" w:sz="4" w:space="0" w:color="auto"/>
              <w:right w:val="single" w:sz="4" w:space="0" w:color="auto"/>
            </w:tcBorders>
            <w:shd w:val="clear" w:color="auto" w:fill="auto"/>
            <w:vAlign w:val="center"/>
            <w:hideMark/>
          </w:tcPr>
          <w:p w14:paraId="46F8570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0.007</w:t>
            </w:r>
          </w:p>
        </w:tc>
        <w:tc>
          <w:tcPr>
            <w:tcW w:w="916" w:type="dxa"/>
            <w:tcBorders>
              <w:top w:val="nil"/>
              <w:left w:val="nil"/>
              <w:bottom w:val="single" w:sz="4" w:space="0" w:color="auto"/>
              <w:right w:val="single" w:sz="4" w:space="0" w:color="auto"/>
            </w:tcBorders>
            <w:shd w:val="clear" w:color="auto" w:fill="auto"/>
            <w:vAlign w:val="center"/>
            <w:hideMark/>
          </w:tcPr>
          <w:p w14:paraId="402E6EE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0.005</w:t>
            </w:r>
          </w:p>
        </w:tc>
        <w:tc>
          <w:tcPr>
            <w:tcW w:w="917" w:type="dxa"/>
            <w:tcBorders>
              <w:top w:val="nil"/>
              <w:left w:val="nil"/>
              <w:bottom w:val="single" w:sz="4" w:space="0" w:color="auto"/>
              <w:right w:val="single" w:sz="4" w:space="0" w:color="auto"/>
            </w:tcBorders>
            <w:shd w:val="clear" w:color="auto" w:fill="auto"/>
            <w:vAlign w:val="center"/>
            <w:hideMark/>
          </w:tcPr>
          <w:p w14:paraId="506217F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0.829</w:t>
            </w:r>
          </w:p>
        </w:tc>
      </w:tr>
      <w:tr w:rsidR="00ED752C" w:rsidRPr="0085788D" w14:paraId="0D26A73A"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3F05BBC8"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5A01BD13"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Chronic kidney disease</w:t>
            </w:r>
          </w:p>
        </w:tc>
        <w:tc>
          <w:tcPr>
            <w:tcW w:w="916" w:type="dxa"/>
            <w:tcBorders>
              <w:top w:val="nil"/>
              <w:left w:val="nil"/>
              <w:bottom w:val="single" w:sz="4" w:space="0" w:color="auto"/>
              <w:right w:val="single" w:sz="4" w:space="0" w:color="auto"/>
            </w:tcBorders>
            <w:shd w:val="clear" w:color="auto" w:fill="auto"/>
            <w:vAlign w:val="center"/>
            <w:hideMark/>
          </w:tcPr>
          <w:p w14:paraId="0FBF5E7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178 (15%)</w:t>
            </w:r>
          </w:p>
        </w:tc>
        <w:tc>
          <w:tcPr>
            <w:tcW w:w="916" w:type="dxa"/>
            <w:tcBorders>
              <w:top w:val="nil"/>
              <w:left w:val="nil"/>
              <w:bottom w:val="single" w:sz="4" w:space="0" w:color="auto"/>
              <w:right w:val="single" w:sz="4" w:space="0" w:color="auto"/>
            </w:tcBorders>
            <w:shd w:val="clear" w:color="auto" w:fill="auto"/>
            <w:vAlign w:val="center"/>
            <w:hideMark/>
          </w:tcPr>
          <w:p w14:paraId="3B96D50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59 (12%)</w:t>
            </w:r>
          </w:p>
        </w:tc>
        <w:tc>
          <w:tcPr>
            <w:tcW w:w="916" w:type="dxa"/>
            <w:tcBorders>
              <w:top w:val="nil"/>
              <w:left w:val="nil"/>
              <w:bottom w:val="single" w:sz="4" w:space="0" w:color="auto"/>
              <w:right w:val="single" w:sz="4" w:space="0" w:color="auto"/>
            </w:tcBorders>
            <w:shd w:val="clear" w:color="auto" w:fill="auto"/>
            <w:vAlign w:val="center"/>
            <w:hideMark/>
          </w:tcPr>
          <w:p w14:paraId="2477BF1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58 (16%)</w:t>
            </w:r>
          </w:p>
        </w:tc>
        <w:tc>
          <w:tcPr>
            <w:tcW w:w="917" w:type="dxa"/>
            <w:tcBorders>
              <w:top w:val="nil"/>
              <w:left w:val="nil"/>
              <w:bottom w:val="single" w:sz="4" w:space="0" w:color="auto"/>
              <w:right w:val="single" w:sz="4" w:space="0" w:color="auto"/>
            </w:tcBorders>
            <w:shd w:val="clear" w:color="auto" w:fill="auto"/>
            <w:vAlign w:val="center"/>
            <w:hideMark/>
          </w:tcPr>
          <w:p w14:paraId="20EBBD9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61 (19%)</w:t>
            </w:r>
          </w:p>
        </w:tc>
        <w:tc>
          <w:tcPr>
            <w:tcW w:w="916" w:type="dxa"/>
            <w:tcBorders>
              <w:top w:val="nil"/>
              <w:left w:val="nil"/>
              <w:bottom w:val="single" w:sz="4" w:space="0" w:color="auto"/>
              <w:right w:val="single" w:sz="4" w:space="0" w:color="auto"/>
            </w:tcBorders>
            <w:shd w:val="clear" w:color="auto" w:fill="auto"/>
            <w:vAlign w:val="center"/>
            <w:hideMark/>
          </w:tcPr>
          <w:p w14:paraId="0ED5F01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0.046</w:t>
            </w:r>
          </w:p>
        </w:tc>
        <w:tc>
          <w:tcPr>
            <w:tcW w:w="916" w:type="dxa"/>
            <w:tcBorders>
              <w:top w:val="nil"/>
              <w:left w:val="nil"/>
              <w:bottom w:val="single" w:sz="4" w:space="0" w:color="auto"/>
              <w:right w:val="single" w:sz="4" w:space="0" w:color="auto"/>
            </w:tcBorders>
            <w:shd w:val="clear" w:color="auto" w:fill="auto"/>
            <w:vAlign w:val="center"/>
            <w:hideMark/>
          </w:tcPr>
          <w:p w14:paraId="4068D48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0.158</w:t>
            </w:r>
          </w:p>
        </w:tc>
        <w:tc>
          <w:tcPr>
            <w:tcW w:w="917" w:type="dxa"/>
            <w:tcBorders>
              <w:top w:val="nil"/>
              <w:left w:val="nil"/>
              <w:bottom w:val="single" w:sz="4" w:space="0" w:color="auto"/>
              <w:right w:val="single" w:sz="4" w:space="0" w:color="auto"/>
            </w:tcBorders>
            <w:shd w:val="clear" w:color="auto" w:fill="auto"/>
            <w:vAlign w:val="center"/>
            <w:hideMark/>
          </w:tcPr>
          <w:p w14:paraId="10AE635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0.013</w:t>
            </w:r>
          </w:p>
        </w:tc>
      </w:tr>
      <w:tr w:rsidR="00ED752C" w:rsidRPr="0085788D" w14:paraId="60614F74"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1EEA17A4"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1599B191"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Chronic liver disease</w:t>
            </w:r>
          </w:p>
        </w:tc>
        <w:tc>
          <w:tcPr>
            <w:tcW w:w="916" w:type="dxa"/>
            <w:tcBorders>
              <w:top w:val="nil"/>
              <w:left w:val="nil"/>
              <w:bottom w:val="single" w:sz="4" w:space="0" w:color="auto"/>
              <w:right w:val="single" w:sz="4" w:space="0" w:color="auto"/>
            </w:tcBorders>
            <w:shd w:val="clear" w:color="auto" w:fill="auto"/>
            <w:vAlign w:val="center"/>
            <w:hideMark/>
          </w:tcPr>
          <w:p w14:paraId="443DC9F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58 (5%)</w:t>
            </w:r>
          </w:p>
        </w:tc>
        <w:tc>
          <w:tcPr>
            <w:tcW w:w="916" w:type="dxa"/>
            <w:tcBorders>
              <w:top w:val="nil"/>
              <w:left w:val="nil"/>
              <w:bottom w:val="single" w:sz="4" w:space="0" w:color="auto"/>
              <w:right w:val="single" w:sz="4" w:space="0" w:color="auto"/>
            </w:tcBorders>
            <w:shd w:val="clear" w:color="auto" w:fill="auto"/>
            <w:vAlign w:val="center"/>
            <w:hideMark/>
          </w:tcPr>
          <w:p w14:paraId="117ABF3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26 (5%)</w:t>
            </w:r>
          </w:p>
        </w:tc>
        <w:tc>
          <w:tcPr>
            <w:tcW w:w="916" w:type="dxa"/>
            <w:tcBorders>
              <w:top w:val="nil"/>
              <w:left w:val="nil"/>
              <w:bottom w:val="single" w:sz="4" w:space="0" w:color="auto"/>
              <w:right w:val="single" w:sz="4" w:space="0" w:color="auto"/>
            </w:tcBorders>
            <w:shd w:val="clear" w:color="auto" w:fill="auto"/>
            <w:vAlign w:val="center"/>
            <w:hideMark/>
          </w:tcPr>
          <w:p w14:paraId="2D072FD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14 (4%)</w:t>
            </w:r>
          </w:p>
        </w:tc>
        <w:tc>
          <w:tcPr>
            <w:tcW w:w="917" w:type="dxa"/>
            <w:tcBorders>
              <w:top w:val="nil"/>
              <w:left w:val="nil"/>
              <w:bottom w:val="single" w:sz="4" w:space="0" w:color="auto"/>
              <w:right w:val="single" w:sz="4" w:space="0" w:color="auto"/>
            </w:tcBorders>
            <w:shd w:val="clear" w:color="auto" w:fill="auto"/>
            <w:vAlign w:val="center"/>
            <w:hideMark/>
          </w:tcPr>
          <w:p w14:paraId="07C3638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18 (6%)</w:t>
            </w:r>
          </w:p>
        </w:tc>
        <w:tc>
          <w:tcPr>
            <w:tcW w:w="916" w:type="dxa"/>
            <w:tcBorders>
              <w:top w:val="nil"/>
              <w:left w:val="nil"/>
              <w:bottom w:val="single" w:sz="4" w:space="0" w:color="auto"/>
              <w:right w:val="single" w:sz="4" w:space="0" w:color="auto"/>
            </w:tcBorders>
            <w:shd w:val="clear" w:color="auto" w:fill="auto"/>
            <w:vAlign w:val="center"/>
            <w:hideMark/>
          </w:tcPr>
          <w:p w14:paraId="6DCD5D9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0.469</w:t>
            </w:r>
          </w:p>
        </w:tc>
        <w:tc>
          <w:tcPr>
            <w:tcW w:w="916" w:type="dxa"/>
            <w:tcBorders>
              <w:top w:val="nil"/>
              <w:left w:val="nil"/>
              <w:bottom w:val="single" w:sz="4" w:space="0" w:color="auto"/>
              <w:right w:val="single" w:sz="4" w:space="0" w:color="auto"/>
            </w:tcBorders>
            <w:shd w:val="clear" w:color="auto" w:fill="auto"/>
            <w:vAlign w:val="center"/>
            <w:hideMark/>
          </w:tcPr>
          <w:p w14:paraId="7A8C9B9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0.263</w:t>
            </w:r>
          </w:p>
        </w:tc>
        <w:tc>
          <w:tcPr>
            <w:tcW w:w="917" w:type="dxa"/>
            <w:tcBorders>
              <w:top w:val="nil"/>
              <w:left w:val="nil"/>
              <w:bottom w:val="single" w:sz="4" w:space="0" w:color="auto"/>
              <w:right w:val="single" w:sz="4" w:space="0" w:color="auto"/>
            </w:tcBorders>
            <w:shd w:val="clear" w:color="auto" w:fill="auto"/>
            <w:vAlign w:val="center"/>
            <w:hideMark/>
          </w:tcPr>
          <w:p w14:paraId="7F399DA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0.966</w:t>
            </w:r>
          </w:p>
        </w:tc>
      </w:tr>
      <w:tr w:rsidR="00ED752C" w:rsidRPr="0085788D" w14:paraId="381B6F01"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1031FBDF"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68984E9C"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Chronic neurological disorder</w:t>
            </w:r>
          </w:p>
        </w:tc>
        <w:tc>
          <w:tcPr>
            <w:tcW w:w="916" w:type="dxa"/>
            <w:tcBorders>
              <w:top w:val="nil"/>
              <w:left w:val="nil"/>
              <w:bottom w:val="single" w:sz="4" w:space="0" w:color="auto"/>
              <w:right w:val="single" w:sz="4" w:space="0" w:color="auto"/>
            </w:tcBorders>
            <w:shd w:val="clear" w:color="auto" w:fill="auto"/>
            <w:vAlign w:val="center"/>
            <w:hideMark/>
          </w:tcPr>
          <w:p w14:paraId="360CA42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143 (12%)</w:t>
            </w:r>
          </w:p>
        </w:tc>
        <w:tc>
          <w:tcPr>
            <w:tcW w:w="916" w:type="dxa"/>
            <w:tcBorders>
              <w:top w:val="nil"/>
              <w:left w:val="nil"/>
              <w:bottom w:val="single" w:sz="4" w:space="0" w:color="auto"/>
              <w:right w:val="single" w:sz="4" w:space="0" w:color="auto"/>
            </w:tcBorders>
            <w:shd w:val="clear" w:color="auto" w:fill="auto"/>
            <w:vAlign w:val="center"/>
            <w:hideMark/>
          </w:tcPr>
          <w:p w14:paraId="1E01E16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60 (13%)</w:t>
            </w:r>
          </w:p>
        </w:tc>
        <w:tc>
          <w:tcPr>
            <w:tcW w:w="916" w:type="dxa"/>
            <w:tcBorders>
              <w:top w:val="nil"/>
              <w:left w:val="nil"/>
              <w:bottom w:val="single" w:sz="4" w:space="0" w:color="auto"/>
              <w:right w:val="single" w:sz="4" w:space="0" w:color="auto"/>
            </w:tcBorders>
            <w:shd w:val="clear" w:color="auto" w:fill="auto"/>
            <w:vAlign w:val="center"/>
            <w:hideMark/>
          </w:tcPr>
          <w:p w14:paraId="49301A1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29 (8%)</w:t>
            </w:r>
          </w:p>
        </w:tc>
        <w:tc>
          <w:tcPr>
            <w:tcW w:w="917" w:type="dxa"/>
            <w:tcBorders>
              <w:top w:val="nil"/>
              <w:left w:val="nil"/>
              <w:bottom w:val="single" w:sz="4" w:space="0" w:color="auto"/>
              <w:right w:val="single" w:sz="4" w:space="0" w:color="auto"/>
            </w:tcBorders>
            <w:shd w:val="clear" w:color="auto" w:fill="auto"/>
            <w:vAlign w:val="center"/>
            <w:hideMark/>
          </w:tcPr>
          <w:p w14:paraId="55657B4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54 (17%)</w:t>
            </w:r>
          </w:p>
        </w:tc>
        <w:tc>
          <w:tcPr>
            <w:tcW w:w="916" w:type="dxa"/>
            <w:tcBorders>
              <w:top w:val="nil"/>
              <w:left w:val="nil"/>
              <w:bottom w:val="single" w:sz="4" w:space="0" w:color="auto"/>
              <w:right w:val="single" w:sz="4" w:space="0" w:color="auto"/>
            </w:tcBorders>
            <w:shd w:val="clear" w:color="auto" w:fill="auto"/>
            <w:vAlign w:val="center"/>
            <w:hideMark/>
          </w:tcPr>
          <w:p w14:paraId="3137695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0.002</w:t>
            </w:r>
          </w:p>
        </w:tc>
        <w:tc>
          <w:tcPr>
            <w:tcW w:w="916" w:type="dxa"/>
            <w:tcBorders>
              <w:top w:val="nil"/>
              <w:left w:val="nil"/>
              <w:bottom w:val="single" w:sz="4" w:space="0" w:color="auto"/>
              <w:right w:val="single" w:sz="4" w:space="0" w:color="auto"/>
            </w:tcBorders>
            <w:shd w:val="clear" w:color="auto" w:fill="auto"/>
            <w:vAlign w:val="center"/>
            <w:hideMark/>
          </w:tcPr>
          <w:p w14:paraId="35D06BC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0.027</w:t>
            </w:r>
          </w:p>
        </w:tc>
        <w:tc>
          <w:tcPr>
            <w:tcW w:w="917" w:type="dxa"/>
            <w:tcBorders>
              <w:top w:val="nil"/>
              <w:left w:val="nil"/>
              <w:bottom w:val="single" w:sz="4" w:space="0" w:color="auto"/>
              <w:right w:val="single" w:sz="4" w:space="0" w:color="auto"/>
            </w:tcBorders>
            <w:shd w:val="clear" w:color="auto" w:fill="auto"/>
            <w:vAlign w:val="center"/>
            <w:hideMark/>
          </w:tcPr>
          <w:p w14:paraId="17C33D8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0.112</w:t>
            </w:r>
          </w:p>
        </w:tc>
      </w:tr>
      <w:tr w:rsidR="00ED752C" w:rsidRPr="0085788D" w14:paraId="2D7000BB"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0F7E5DD8"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7DE2F132"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Organ Transplantation</w:t>
            </w:r>
          </w:p>
        </w:tc>
        <w:tc>
          <w:tcPr>
            <w:tcW w:w="916" w:type="dxa"/>
            <w:tcBorders>
              <w:top w:val="nil"/>
              <w:left w:val="nil"/>
              <w:bottom w:val="single" w:sz="4" w:space="0" w:color="auto"/>
              <w:right w:val="single" w:sz="4" w:space="0" w:color="auto"/>
            </w:tcBorders>
            <w:shd w:val="clear" w:color="auto" w:fill="auto"/>
            <w:vAlign w:val="center"/>
            <w:hideMark/>
          </w:tcPr>
          <w:p w14:paraId="064C012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69 (6%)</w:t>
            </w:r>
          </w:p>
        </w:tc>
        <w:tc>
          <w:tcPr>
            <w:tcW w:w="916" w:type="dxa"/>
            <w:tcBorders>
              <w:top w:val="nil"/>
              <w:left w:val="nil"/>
              <w:bottom w:val="single" w:sz="4" w:space="0" w:color="auto"/>
              <w:right w:val="single" w:sz="4" w:space="0" w:color="auto"/>
            </w:tcBorders>
            <w:shd w:val="clear" w:color="auto" w:fill="auto"/>
            <w:vAlign w:val="center"/>
            <w:hideMark/>
          </w:tcPr>
          <w:p w14:paraId="2CD5F87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18 (4%)</w:t>
            </w:r>
          </w:p>
        </w:tc>
        <w:tc>
          <w:tcPr>
            <w:tcW w:w="916" w:type="dxa"/>
            <w:tcBorders>
              <w:top w:val="nil"/>
              <w:left w:val="nil"/>
              <w:bottom w:val="single" w:sz="4" w:space="0" w:color="auto"/>
              <w:right w:val="single" w:sz="4" w:space="0" w:color="auto"/>
            </w:tcBorders>
            <w:shd w:val="clear" w:color="auto" w:fill="auto"/>
            <w:vAlign w:val="center"/>
            <w:hideMark/>
          </w:tcPr>
          <w:p w14:paraId="27AA7E6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28 (8%)</w:t>
            </w:r>
          </w:p>
        </w:tc>
        <w:tc>
          <w:tcPr>
            <w:tcW w:w="917" w:type="dxa"/>
            <w:tcBorders>
              <w:top w:val="nil"/>
              <w:left w:val="nil"/>
              <w:bottom w:val="single" w:sz="4" w:space="0" w:color="auto"/>
              <w:right w:val="single" w:sz="4" w:space="0" w:color="auto"/>
            </w:tcBorders>
            <w:shd w:val="clear" w:color="auto" w:fill="auto"/>
            <w:vAlign w:val="center"/>
            <w:hideMark/>
          </w:tcPr>
          <w:p w14:paraId="52C0B2C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23 (7%)</w:t>
            </w:r>
          </w:p>
        </w:tc>
        <w:tc>
          <w:tcPr>
            <w:tcW w:w="916" w:type="dxa"/>
            <w:tcBorders>
              <w:top w:val="nil"/>
              <w:left w:val="nil"/>
              <w:bottom w:val="single" w:sz="4" w:space="0" w:color="auto"/>
              <w:right w:val="single" w:sz="4" w:space="0" w:color="auto"/>
            </w:tcBorders>
            <w:shd w:val="clear" w:color="auto" w:fill="auto"/>
            <w:vAlign w:val="center"/>
            <w:hideMark/>
          </w:tcPr>
          <w:p w14:paraId="45964E7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0.037</w:t>
            </w:r>
          </w:p>
        </w:tc>
        <w:tc>
          <w:tcPr>
            <w:tcW w:w="916" w:type="dxa"/>
            <w:tcBorders>
              <w:top w:val="nil"/>
              <w:left w:val="nil"/>
              <w:bottom w:val="single" w:sz="4" w:space="0" w:color="auto"/>
              <w:right w:val="single" w:sz="4" w:space="0" w:color="auto"/>
            </w:tcBorders>
            <w:shd w:val="clear" w:color="auto" w:fill="auto"/>
            <w:vAlign w:val="center"/>
            <w:hideMark/>
          </w:tcPr>
          <w:p w14:paraId="324CCF1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0.015</w:t>
            </w:r>
          </w:p>
        </w:tc>
        <w:tc>
          <w:tcPr>
            <w:tcW w:w="917" w:type="dxa"/>
            <w:tcBorders>
              <w:top w:val="nil"/>
              <w:left w:val="nil"/>
              <w:bottom w:val="single" w:sz="4" w:space="0" w:color="auto"/>
              <w:right w:val="single" w:sz="4" w:space="0" w:color="auto"/>
            </w:tcBorders>
            <w:shd w:val="clear" w:color="auto" w:fill="auto"/>
            <w:vAlign w:val="center"/>
            <w:hideMark/>
          </w:tcPr>
          <w:p w14:paraId="47B2B25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0.038</w:t>
            </w:r>
          </w:p>
        </w:tc>
      </w:tr>
      <w:tr w:rsidR="00ED752C" w:rsidRPr="0085788D" w14:paraId="199E66D8"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3CD8D2F6"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6521F6B7"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HIV/AIDS</w:t>
            </w:r>
          </w:p>
        </w:tc>
        <w:tc>
          <w:tcPr>
            <w:tcW w:w="916" w:type="dxa"/>
            <w:tcBorders>
              <w:top w:val="nil"/>
              <w:left w:val="nil"/>
              <w:bottom w:val="single" w:sz="4" w:space="0" w:color="auto"/>
              <w:right w:val="single" w:sz="4" w:space="0" w:color="auto"/>
            </w:tcBorders>
            <w:shd w:val="clear" w:color="auto" w:fill="auto"/>
            <w:vAlign w:val="center"/>
            <w:hideMark/>
          </w:tcPr>
          <w:p w14:paraId="6302B20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21 (2%)</w:t>
            </w:r>
          </w:p>
        </w:tc>
        <w:tc>
          <w:tcPr>
            <w:tcW w:w="916" w:type="dxa"/>
            <w:tcBorders>
              <w:top w:val="nil"/>
              <w:left w:val="nil"/>
              <w:bottom w:val="single" w:sz="4" w:space="0" w:color="auto"/>
              <w:right w:val="single" w:sz="4" w:space="0" w:color="auto"/>
            </w:tcBorders>
            <w:shd w:val="clear" w:color="auto" w:fill="auto"/>
            <w:vAlign w:val="center"/>
            <w:hideMark/>
          </w:tcPr>
          <w:p w14:paraId="7974B7C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9 (2%)</w:t>
            </w:r>
          </w:p>
        </w:tc>
        <w:tc>
          <w:tcPr>
            <w:tcW w:w="916" w:type="dxa"/>
            <w:tcBorders>
              <w:top w:val="nil"/>
              <w:left w:val="nil"/>
              <w:bottom w:val="single" w:sz="4" w:space="0" w:color="auto"/>
              <w:right w:val="single" w:sz="4" w:space="0" w:color="auto"/>
            </w:tcBorders>
            <w:shd w:val="clear" w:color="auto" w:fill="auto"/>
            <w:vAlign w:val="center"/>
            <w:hideMark/>
          </w:tcPr>
          <w:p w14:paraId="0DBBCD4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 (1%)</w:t>
            </w:r>
          </w:p>
        </w:tc>
        <w:tc>
          <w:tcPr>
            <w:tcW w:w="917" w:type="dxa"/>
            <w:tcBorders>
              <w:top w:val="nil"/>
              <w:left w:val="nil"/>
              <w:bottom w:val="single" w:sz="4" w:space="0" w:color="auto"/>
              <w:right w:val="single" w:sz="4" w:space="0" w:color="auto"/>
            </w:tcBorders>
            <w:shd w:val="clear" w:color="auto" w:fill="auto"/>
            <w:vAlign w:val="center"/>
            <w:hideMark/>
          </w:tcPr>
          <w:p w14:paraId="78BDD64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9 (3%)</w:t>
            </w:r>
          </w:p>
        </w:tc>
        <w:tc>
          <w:tcPr>
            <w:tcW w:w="916" w:type="dxa"/>
            <w:tcBorders>
              <w:top w:val="nil"/>
              <w:left w:val="nil"/>
              <w:bottom w:val="single" w:sz="4" w:space="0" w:color="auto"/>
              <w:right w:val="single" w:sz="4" w:space="0" w:color="auto"/>
            </w:tcBorders>
            <w:shd w:val="clear" w:color="auto" w:fill="auto"/>
            <w:vAlign w:val="center"/>
            <w:hideMark/>
          </w:tcPr>
          <w:p w14:paraId="25D3682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0.153</w:t>
            </w:r>
          </w:p>
        </w:tc>
        <w:tc>
          <w:tcPr>
            <w:tcW w:w="916" w:type="dxa"/>
            <w:tcBorders>
              <w:top w:val="nil"/>
              <w:left w:val="nil"/>
              <w:bottom w:val="single" w:sz="4" w:space="0" w:color="auto"/>
              <w:right w:val="single" w:sz="4" w:space="0" w:color="auto"/>
            </w:tcBorders>
            <w:shd w:val="clear" w:color="auto" w:fill="auto"/>
            <w:vAlign w:val="center"/>
            <w:hideMark/>
          </w:tcPr>
          <w:p w14:paraId="3A5020F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0.191</w:t>
            </w:r>
          </w:p>
        </w:tc>
        <w:tc>
          <w:tcPr>
            <w:tcW w:w="917" w:type="dxa"/>
            <w:tcBorders>
              <w:top w:val="nil"/>
              <w:left w:val="nil"/>
              <w:bottom w:val="single" w:sz="4" w:space="0" w:color="auto"/>
              <w:right w:val="single" w:sz="4" w:space="0" w:color="auto"/>
            </w:tcBorders>
            <w:shd w:val="clear" w:color="auto" w:fill="auto"/>
            <w:vAlign w:val="center"/>
            <w:hideMark/>
          </w:tcPr>
          <w:p w14:paraId="2F0CD04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0.411</w:t>
            </w:r>
          </w:p>
        </w:tc>
      </w:tr>
      <w:tr w:rsidR="00ED752C" w:rsidRPr="0085788D" w14:paraId="2D946589"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6CDC3166"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56601A74"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Malignancy</w:t>
            </w:r>
          </w:p>
        </w:tc>
        <w:tc>
          <w:tcPr>
            <w:tcW w:w="916" w:type="dxa"/>
            <w:tcBorders>
              <w:top w:val="nil"/>
              <w:left w:val="nil"/>
              <w:bottom w:val="single" w:sz="4" w:space="0" w:color="auto"/>
              <w:right w:val="single" w:sz="4" w:space="0" w:color="auto"/>
            </w:tcBorders>
            <w:shd w:val="clear" w:color="auto" w:fill="auto"/>
            <w:vAlign w:val="center"/>
            <w:hideMark/>
          </w:tcPr>
          <w:p w14:paraId="3FE3AC7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119 (10%)</w:t>
            </w:r>
          </w:p>
        </w:tc>
        <w:tc>
          <w:tcPr>
            <w:tcW w:w="916" w:type="dxa"/>
            <w:tcBorders>
              <w:top w:val="nil"/>
              <w:left w:val="nil"/>
              <w:bottom w:val="single" w:sz="4" w:space="0" w:color="auto"/>
              <w:right w:val="single" w:sz="4" w:space="0" w:color="auto"/>
            </w:tcBorders>
            <w:shd w:val="clear" w:color="auto" w:fill="auto"/>
            <w:vAlign w:val="center"/>
            <w:hideMark/>
          </w:tcPr>
          <w:p w14:paraId="1C5CCA7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44 (9%)</w:t>
            </w:r>
          </w:p>
        </w:tc>
        <w:tc>
          <w:tcPr>
            <w:tcW w:w="916" w:type="dxa"/>
            <w:tcBorders>
              <w:top w:val="nil"/>
              <w:left w:val="nil"/>
              <w:bottom w:val="single" w:sz="4" w:space="0" w:color="auto"/>
              <w:right w:val="single" w:sz="4" w:space="0" w:color="auto"/>
            </w:tcBorders>
            <w:shd w:val="clear" w:color="auto" w:fill="auto"/>
            <w:vAlign w:val="center"/>
            <w:hideMark/>
          </w:tcPr>
          <w:p w14:paraId="2ECF302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25 (7%)</w:t>
            </w:r>
          </w:p>
        </w:tc>
        <w:tc>
          <w:tcPr>
            <w:tcW w:w="917" w:type="dxa"/>
            <w:tcBorders>
              <w:top w:val="nil"/>
              <w:left w:val="nil"/>
              <w:bottom w:val="single" w:sz="4" w:space="0" w:color="auto"/>
              <w:right w:val="single" w:sz="4" w:space="0" w:color="auto"/>
            </w:tcBorders>
            <w:shd w:val="clear" w:color="auto" w:fill="auto"/>
            <w:vAlign w:val="center"/>
            <w:hideMark/>
          </w:tcPr>
          <w:p w14:paraId="5D76757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50 (15%)</w:t>
            </w:r>
          </w:p>
        </w:tc>
        <w:tc>
          <w:tcPr>
            <w:tcW w:w="916" w:type="dxa"/>
            <w:tcBorders>
              <w:top w:val="nil"/>
              <w:left w:val="nil"/>
              <w:bottom w:val="nil"/>
              <w:right w:val="single" w:sz="4" w:space="0" w:color="auto"/>
            </w:tcBorders>
            <w:shd w:val="clear" w:color="auto" w:fill="auto"/>
            <w:vAlign w:val="center"/>
            <w:hideMark/>
          </w:tcPr>
          <w:p w14:paraId="2484823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&lt;.001</w:t>
            </w:r>
          </w:p>
        </w:tc>
        <w:tc>
          <w:tcPr>
            <w:tcW w:w="916" w:type="dxa"/>
            <w:tcBorders>
              <w:top w:val="nil"/>
              <w:left w:val="nil"/>
              <w:bottom w:val="nil"/>
              <w:right w:val="single" w:sz="4" w:space="0" w:color="auto"/>
            </w:tcBorders>
            <w:shd w:val="clear" w:color="auto" w:fill="auto"/>
            <w:vAlign w:val="center"/>
            <w:hideMark/>
          </w:tcPr>
          <w:p w14:paraId="0A85204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0.199</w:t>
            </w:r>
          </w:p>
        </w:tc>
        <w:tc>
          <w:tcPr>
            <w:tcW w:w="917" w:type="dxa"/>
            <w:tcBorders>
              <w:top w:val="nil"/>
              <w:left w:val="nil"/>
              <w:bottom w:val="nil"/>
              <w:right w:val="single" w:sz="4" w:space="0" w:color="auto"/>
            </w:tcBorders>
            <w:shd w:val="clear" w:color="auto" w:fill="auto"/>
            <w:vAlign w:val="center"/>
            <w:hideMark/>
          </w:tcPr>
          <w:p w14:paraId="3032F2A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0.008</w:t>
            </w:r>
          </w:p>
        </w:tc>
      </w:tr>
      <w:tr w:rsidR="00ED752C" w:rsidRPr="0085788D" w14:paraId="54A919DD" w14:textId="77777777" w:rsidTr="00A061AF">
        <w:trPr>
          <w:trHeight w:val="20"/>
        </w:trPr>
        <w:tc>
          <w:tcPr>
            <w:tcW w:w="1357" w:type="dxa"/>
            <w:vMerge w:val="restart"/>
            <w:tcBorders>
              <w:top w:val="nil"/>
              <w:left w:val="single" w:sz="4" w:space="0" w:color="auto"/>
              <w:bottom w:val="single" w:sz="4" w:space="0" w:color="auto"/>
              <w:right w:val="single" w:sz="4" w:space="0" w:color="auto"/>
            </w:tcBorders>
            <w:shd w:val="clear" w:color="auto" w:fill="auto"/>
            <w:vAlign w:val="center"/>
            <w:hideMark/>
          </w:tcPr>
          <w:p w14:paraId="31080353"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BMI Category</w:t>
            </w:r>
          </w:p>
        </w:tc>
        <w:tc>
          <w:tcPr>
            <w:tcW w:w="1736" w:type="dxa"/>
            <w:tcBorders>
              <w:top w:val="nil"/>
              <w:left w:val="nil"/>
              <w:bottom w:val="single" w:sz="4" w:space="0" w:color="auto"/>
              <w:right w:val="single" w:sz="4" w:space="0" w:color="auto"/>
            </w:tcBorders>
            <w:shd w:val="clear" w:color="auto" w:fill="auto"/>
            <w:vAlign w:val="center"/>
            <w:hideMark/>
          </w:tcPr>
          <w:p w14:paraId="1B7456BB"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Underweight</w:t>
            </w:r>
          </w:p>
        </w:tc>
        <w:tc>
          <w:tcPr>
            <w:tcW w:w="916" w:type="dxa"/>
            <w:tcBorders>
              <w:top w:val="nil"/>
              <w:left w:val="nil"/>
              <w:bottom w:val="single" w:sz="4" w:space="0" w:color="auto"/>
              <w:right w:val="single" w:sz="4" w:space="0" w:color="auto"/>
            </w:tcBorders>
            <w:shd w:val="clear" w:color="auto" w:fill="auto"/>
            <w:vAlign w:val="center"/>
            <w:hideMark/>
          </w:tcPr>
          <w:p w14:paraId="592FF3A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15 (1%)</w:t>
            </w:r>
          </w:p>
        </w:tc>
        <w:tc>
          <w:tcPr>
            <w:tcW w:w="916" w:type="dxa"/>
            <w:tcBorders>
              <w:top w:val="nil"/>
              <w:left w:val="nil"/>
              <w:bottom w:val="single" w:sz="4" w:space="0" w:color="auto"/>
              <w:right w:val="single" w:sz="4" w:space="0" w:color="auto"/>
            </w:tcBorders>
            <w:shd w:val="clear" w:color="auto" w:fill="auto"/>
            <w:vAlign w:val="center"/>
            <w:hideMark/>
          </w:tcPr>
          <w:p w14:paraId="1FA38F4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 (1%)</w:t>
            </w:r>
          </w:p>
        </w:tc>
        <w:tc>
          <w:tcPr>
            <w:tcW w:w="916" w:type="dxa"/>
            <w:tcBorders>
              <w:top w:val="nil"/>
              <w:left w:val="nil"/>
              <w:bottom w:val="single" w:sz="4" w:space="0" w:color="auto"/>
              <w:right w:val="single" w:sz="4" w:space="0" w:color="auto"/>
            </w:tcBorders>
            <w:shd w:val="clear" w:color="auto" w:fill="auto"/>
            <w:vAlign w:val="center"/>
            <w:hideMark/>
          </w:tcPr>
          <w:p w14:paraId="60BCA4C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 (1%)</w:t>
            </w:r>
          </w:p>
        </w:tc>
        <w:tc>
          <w:tcPr>
            <w:tcW w:w="917" w:type="dxa"/>
            <w:tcBorders>
              <w:top w:val="nil"/>
              <w:left w:val="nil"/>
              <w:bottom w:val="single" w:sz="4" w:space="0" w:color="auto"/>
              <w:right w:val="nil"/>
            </w:tcBorders>
            <w:shd w:val="clear" w:color="auto" w:fill="auto"/>
            <w:vAlign w:val="center"/>
            <w:hideMark/>
          </w:tcPr>
          <w:p w14:paraId="400A6E8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 (1%)</w:t>
            </w:r>
          </w:p>
        </w:tc>
        <w:tc>
          <w:tcPr>
            <w:tcW w:w="916" w:type="dxa"/>
            <w:tcBorders>
              <w:top w:val="single" w:sz="4" w:space="0" w:color="auto"/>
              <w:left w:val="single" w:sz="4" w:space="0" w:color="auto"/>
              <w:bottom w:val="nil"/>
              <w:right w:val="single" w:sz="4" w:space="0" w:color="auto"/>
            </w:tcBorders>
            <w:shd w:val="clear" w:color="auto" w:fill="auto"/>
            <w:vAlign w:val="center"/>
            <w:hideMark/>
          </w:tcPr>
          <w:p w14:paraId="6B3E79F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&lt;.001</w:t>
            </w:r>
          </w:p>
        </w:tc>
        <w:tc>
          <w:tcPr>
            <w:tcW w:w="916" w:type="dxa"/>
            <w:tcBorders>
              <w:top w:val="single" w:sz="4" w:space="0" w:color="auto"/>
              <w:left w:val="nil"/>
              <w:bottom w:val="nil"/>
              <w:right w:val="single" w:sz="4" w:space="0" w:color="auto"/>
            </w:tcBorders>
            <w:shd w:val="clear" w:color="auto" w:fill="auto"/>
            <w:vAlign w:val="center"/>
            <w:hideMark/>
          </w:tcPr>
          <w:p w14:paraId="56DA0BE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0.209</w:t>
            </w:r>
          </w:p>
        </w:tc>
        <w:tc>
          <w:tcPr>
            <w:tcW w:w="917" w:type="dxa"/>
            <w:tcBorders>
              <w:top w:val="single" w:sz="4" w:space="0" w:color="auto"/>
              <w:left w:val="nil"/>
              <w:bottom w:val="nil"/>
              <w:right w:val="single" w:sz="4" w:space="0" w:color="auto"/>
            </w:tcBorders>
            <w:shd w:val="clear" w:color="auto" w:fill="auto"/>
            <w:vAlign w:val="center"/>
            <w:hideMark/>
          </w:tcPr>
          <w:p w14:paraId="0606F9C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0.001</w:t>
            </w:r>
          </w:p>
        </w:tc>
      </w:tr>
      <w:tr w:rsidR="00ED752C" w:rsidRPr="0085788D" w14:paraId="40306E30"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76521391"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45C58B2D"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Normal weight</w:t>
            </w:r>
          </w:p>
        </w:tc>
        <w:tc>
          <w:tcPr>
            <w:tcW w:w="916" w:type="dxa"/>
            <w:tcBorders>
              <w:top w:val="nil"/>
              <w:left w:val="nil"/>
              <w:bottom w:val="single" w:sz="4" w:space="0" w:color="auto"/>
              <w:right w:val="single" w:sz="4" w:space="0" w:color="auto"/>
            </w:tcBorders>
            <w:shd w:val="clear" w:color="auto" w:fill="auto"/>
            <w:vAlign w:val="center"/>
            <w:hideMark/>
          </w:tcPr>
          <w:p w14:paraId="46790D9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166 (14%)</w:t>
            </w:r>
          </w:p>
        </w:tc>
        <w:tc>
          <w:tcPr>
            <w:tcW w:w="916" w:type="dxa"/>
            <w:tcBorders>
              <w:top w:val="nil"/>
              <w:left w:val="nil"/>
              <w:bottom w:val="single" w:sz="4" w:space="0" w:color="auto"/>
              <w:right w:val="single" w:sz="4" w:space="0" w:color="auto"/>
            </w:tcBorders>
            <w:shd w:val="clear" w:color="auto" w:fill="auto"/>
            <w:vAlign w:val="center"/>
            <w:hideMark/>
          </w:tcPr>
          <w:p w14:paraId="2D0B6EA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55 (12%)</w:t>
            </w:r>
          </w:p>
        </w:tc>
        <w:tc>
          <w:tcPr>
            <w:tcW w:w="916" w:type="dxa"/>
            <w:tcBorders>
              <w:top w:val="nil"/>
              <w:left w:val="nil"/>
              <w:bottom w:val="single" w:sz="4" w:space="0" w:color="auto"/>
              <w:right w:val="single" w:sz="4" w:space="0" w:color="auto"/>
            </w:tcBorders>
            <w:shd w:val="clear" w:color="auto" w:fill="auto"/>
            <w:vAlign w:val="center"/>
            <w:hideMark/>
          </w:tcPr>
          <w:p w14:paraId="2AA13F8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40 (11%)</w:t>
            </w:r>
          </w:p>
        </w:tc>
        <w:tc>
          <w:tcPr>
            <w:tcW w:w="917" w:type="dxa"/>
            <w:tcBorders>
              <w:top w:val="nil"/>
              <w:left w:val="nil"/>
              <w:bottom w:val="single" w:sz="4" w:space="0" w:color="auto"/>
              <w:right w:val="nil"/>
            </w:tcBorders>
            <w:shd w:val="clear" w:color="auto" w:fill="auto"/>
            <w:vAlign w:val="center"/>
            <w:hideMark/>
          </w:tcPr>
          <w:p w14:paraId="0710159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71 (22%)</w:t>
            </w:r>
          </w:p>
        </w:tc>
        <w:tc>
          <w:tcPr>
            <w:tcW w:w="916" w:type="dxa"/>
            <w:tcBorders>
              <w:top w:val="nil"/>
              <w:left w:val="single" w:sz="4" w:space="0" w:color="auto"/>
              <w:bottom w:val="nil"/>
              <w:right w:val="single" w:sz="4" w:space="0" w:color="auto"/>
            </w:tcBorders>
            <w:shd w:val="clear" w:color="auto" w:fill="auto"/>
            <w:vAlign w:val="center"/>
            <w:hideMark/>
          </w:tcPr>
          <w:p w14:paraId="0F18DDA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47FC386B"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320D382A"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6E204C70"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1CFFF37E"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222CEA43"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Overweight (25.1-29.9)</w:t>
            </w:r>
          </w:p>
        </w:tc>
        <w:tc>
          <w:tcPr>
            <w:tcW w:w="916" w:type="dxa"/>
            <w:tcBorders>
              <w:top w:val="nil"/>
              <w:left w:val="nil"/>
              <w:bottom w:val="single" w:sz="4" w:space="0" w:color="auto"/>
              <w:right w:val="single" w:sz="4" w:space="0" w:color="auto"/>
            </w:tcBorders>
            <w:shd w:val="clear" w:color="auto" w:fill="auto"/>
            <w:vAlign w:val="center"/>
            <w:hideMark/>
          </w:tcPr>
          <w:p w14:paraId="3023DCB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300 (26%)</w:t>
            </w:r>
          </w:p>
        </w:tc>
        <w:tc>
          <w:tcPr>
            <w:tcW w:w="916" w:type="dxa"/>
            <w:tcBorders>
              <w:top w:val="nil"/>
              <w:left w:val="nil"/>
              <w:bottom w:val="single" w:sz="4" w:space="0" w:color="auto"/>
              <w:right w:val="single" w:sz="4" w:space="0" w:color="auto"/>
            </w:tcBorders>
            <w:shd w:val="clear" w:color="auto" w:fill="auto"/>
            <w:vAlign w:val="center"/>
            <w:hideMark/>
          </w:tcPr>
          <w:p w14:paraId="6AD814A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115 (24%)</w:t>
            </w:r>
          </w:p>
        </w:tc>
        <w:tc>
          <w:tcPr>
            <w:tcW w:w="916" w:type="dxa"/>
            <w:tcBorders>
              <w:top w:val="nil"/>
              <w:left w:val="nil"/>
              <w:bottom w:val="single" w:sz="4" w:space="0" w:color="auto"/>
              <w:right w:val="single" w:sz="4" w:space="0" w:color="auto"/>
            </w:tcBorders>
            <w:shd w:val="clear" w:color="auto" w:fill="auto"/>
            <w:vAlign w:val="center"/>
            <w:hideMark/>
          </w:tcPr>
          <w:p w14:paraId="7E9E1EC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100 (27%)</w:t>
            </w:r>
          </w:p>
        </w:tc>
        <w:tc>
          <w:tcPr>
            <w:tcW w:w="917" w:type="dxa"/>
            <w:tcBorders>
              <w:top w:val="nil"/>
              <w:left w:val="nil"/>
              <w:bottom w:val="single" w:sz="4" w:space="0" w:color="auto"/>
              <w:right w:val="nil"/>
            </w:tcBorders>
            <w:shd w:val="clear" w:color="auto" w:fill="auto"/>
            <w:vAlign w:val="center"/>
            <w:hideMark/>
          </w:tcPr>
          <w:p w14:paraId="130F3107"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85 (26%)</w:t>
            </w:r>
          </w:p>
        </w:tc>
        <w:tc>
          <w:tcPr>
            <w:tcW w:w="916" w:type="dxa"/>
            <w:tcBorders>
              <w:top w:val="nil"/>
              <w:left w:val="single" w:sz="4" w:space="0" w:color="auto"/>
              <w:bottom w:val="nil"/>
              <w:right w:val="single" w:sz="4" w:space="0" w:color="auto"/>
            </w:tcBorders>
            <w:shd w:val="clear" w:color="auto" w:fill="auto"/>
            <w:vAlign w:val="center"/>
            <w:hideMark/>
          </w:tcPr>
          <w:p w14:paraId="48D89BB4"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38DA3124"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259C095F"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7181E653"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6821571A"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6217685E"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Class 1-2 Obesity (30-39.9)</w:t>
            </w:r>
          </w:p>
        </w:tc>
        <w:tc>
          <w:tcPr>
            <w:tcW w:w="916" w:type="dxa"/>
            <w:tcBorders>
              <w:top w:val="nil"/>
              <w:left w:val="nil"/>
              <w:bottom w:val="single" w:sz="4" w:space="0" w:color="auto"/>
              <w:right w:val="single" w:sz="4" w:space="0" w:color="auto"/>
            </w:tcBorders>
            <w:shd w:val="clear" w:color="auto" w:fill="auto"/>
            <w:vAlign w:val="center"/>
            <w:hideMark/>
          </w:tcPr>
          <w:p w14:paraId="370BDBE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473 (41%)</w:t>
            </w:r>
          </w:p>
        </w:tc>
        <w:tc>
          <w:tcPr>
            <w:tcW w:w="916" w:type="dxa"/>
            <w:tcBorders>
              <w:top w:val="nil"/>
              <w:left w:val="nil"/>
              <w:bottom w:val="single" w:sz="4" w:space="0" w:color="auto"/>
              <w:right w:val="single" w:sz="4" w:space="0" w:color="auto"/>
            </w:tcBorders>
            <w:shd w:val="clear" w:color="auto" w:fill="auto"/>
            <w:vAlign w:val="center"/>
            <w:hideMark/>
          </w:tcPr>
          <w:p w14:paraId="5CFF18A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194 (41%)</w:t>
            </w:r>
          </w:p>
        </w:tc>
        <w:tc>
          <w:tcPr>
            <w:tcW w:w="916" w:type="dxa"/>
            <w:tcBorders>
              <w:top w:val="nil"/>
              <w:left w:val="nil"/>
              <w:bottom w:val="single" w:sz="4" w:space="0" w:color="auto"/>
              <w:right w:val="single" w:sz="4" w:space="0" w:color="auto"/>
            </w:tcBorders>
            <w:shd w:val="clear" w:color="auto" w:fill="auto"/>
            <w:vAlign w:val="center"/>
            <w:hideMark/>
          </w:tcPr>
          <w:p w14:paraId="4160ED2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163 (45%)</w:t>
            </w:r>
          </w:p>
        </w:tc>
        <w:tc>
          <w:tcPr>
            <w:tcW w:w="917" w:type="dxa"/>
            <w:tcBorders>
              <w:top w:val="nil"/>
              <w:left w:val="nil"/>
              <w:bottom w:val="single" w:sz="4" w:space="0" w:color="auto"/>
              <w:right w:val="nil"/>
            </w:tcBorders>
            <w:shd w:val="clear" w:color="auto" w:fill="auto"/>
            <w:vAlign w:val="center"/>
            <w:hideMark/>
          </w:tcPr>
          <w:p w14:paraId="3E768CA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116 (36%)</w:t>
            </w:r>
          </w:p>
        </w:tc>
        <w:tc>
          <w:tcPr>
            <w:tcW w:w="916" w:type="dxa"/>
            <w:tcBorders>
              <w:top w:val="nil"/>
              <w:left w:val="single" w:sz="4" w:space="0" w:color="auto"/>
              <w:bottom w:val="nil"/>
              <w:right w:val="single" w:sz="4" w:space="0" w:color="auto"/>
            </w:tcBorders>
            <w:shd w:val="clear" w:color="auto" w:fill="auto"/>
            <w:vAlign w:val="center"/>
            <w:hideMark/>
          </w:tcPr>
          <w:p w14:paraId="64FF48FF"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30A0466A"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0FBA19F1"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147595FB"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1F6DEBB3"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56F7FB15"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Class 3 Obesity (40+)</w:t>
            </w:r>
          </w:p>
        </w:tc>
        <w:tc>
          <w:tcPr>
            <w:tcW w:w="916" w:type="dxa"/>
            <w:tcBorders>
              <w:top w:val="nil"/>
              <w:left w:val="nil"/>
              <w:bottom w:val="single" w:sz="4" w:space="0" w:color="auto"/>
              <w:right w:val="single" w:sz="4" w:space="0" w:color="auto"/>
            </w:tcBorders>
            <w:shd w:val="clear" w:color="auto" w:fill="auto"/>
            <w:vAlign w:val="center"/>
            <w:hideMark/>
          </w:tcPr>
          <w:p w14:paraId="0268324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167 (14%)</w:t>
            </w:r>
          </w:p>
        </w:tc>
        <w:tc>
          <w:tcPr>
            <w:tcW w:w="916" w:type="dxa"/>
            <w:tcBorders>
              <w:top w:val="nil"/>
              <w:left w:val="nil"/>
              <w:bottom w:val="single" w:sz="4" w:space="0" w:color="auto"/>
              <w:right w:val="single" w:sz="4" w:space="0" w:color="auto"/>
            </w:tcBorders>
            <w:shd w:val="clear" w:color="auto" w:fill="auto"/>
            <w:vAlign w:val="center"/>
            <w:hideMark/>
          </w:tcPr>
          <w:p w14:paraId="725E1CA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77 (16%)</w:t>
            </w:r>
          </w:p>
        </w:tc>
        <w:tc>
          <w:tcPr>
            <w:tcW w:w="916" w:type="dxa"/>
            <w:tcBorders>
              <w:top w:val="nil"/>
              <w:left w:val="nil"/>
              <w:bottom w:val="single" w:sz="4" w:space="0" w:color="auto"/>
              <w:right w:val="single" w:sz="4" w:space="0" w:color="auto"/>
            </w:tcBorders>
            <w:shd w:val="clear" w:color="auto" w:fill="auto"/>
            <w:vAlign w:val="center"/>
            <w:hideMark/>
          </w:tcPr>
          <w:p w14:paraId="1F7EB98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50 (14%)</w:t>
            </w:r>
          </w:p>
        </w:tc>
        <w:tc>
          <w:tcPr>
            <w:tcW w:w="917" w:type="dxa"/>
            <w:tcBorders>
              <w:top w:val="nil"/>
              <w:left w:val="nil"/>
              <w:bottom w:val="single" w:sz="4" w:space="0" w:color="auto"/>
              <w:right w:val="nil"/>
            </w:tcBorders>
            <w:shd w:val="clear" w:color="auto" w:fill="auto"/>
            <w:vAlign w:val="center"/>
            <w:hideMark/>
          </w:tcPr>
          <w:p w14:paraId="5B9FF55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40 (12%)</w:t>
            </w:r>
          </w:p>
        </w:tc>
        <w:tc>
          <w:tcPr>
            <w:tcW w:w="916" w:type="dxa"/>
            <w:tcBorders>
              <w:top w:val="nil"/>
              <w:left w:val="single" w:sz="4" w:space="0" w:color="auto"/>
              <w:bottom w:val="nil"/>
              <w:right w:val="single" w:sz="4" w:space="0" w:color="auto"/>
            </w:tcBorders>
            <w:shd w:val="clear" w:color="auto" w:fill="auto"/>
            <w:vAlign w:val="center"/>
            <w:hideMark/>
          </w:tcPr>
          <w:p w14:paraId="2294C6A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4095D4A7"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4F0BD84B"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2C931277"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7E0784C3"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017D3118"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Missing</w:t>
            </w:r>
          </w:p>
        </w:tc>
        <w:tc>
          <w:tcPr>
            <w:tcW w:w="916" w:type="dxa"/>
            <w:tcBorders>
              <w:top w:val="nil"/>
              <w:left w:val="nil"/>
              <w:bottom w:val="single" w:sz="4" w:space="0" w:color="auto"/>
              <w:right w:val="single" w:sz="4" w:space="0" w:color="auto"/>
            </w:tcBorders>
            <w:shd w:val="clear" w:color="auto" w:fill="auto"/>
            <w:vAlign w:val="center"/>
            <w:hideMark/>
          </w:tcPr>
          <w:p w14:paraId="3AD109C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43 (4%)</w:t>
            </w:r>
          </w:p>
        </w:tc>
        <w:tc>
          <w:tcPr>
            <w:tcW w:w="916" w:type="dxa"/>
            <w:tcBorders>
              <w:top w:val="nil"/>
              <w:left w:val="nil"/>
              <w:bottom w:val="single" w:sz="4" w:space="0" w:color="auto"/>
              <w:right w:val="single" w:sz="4" w:space="0" w:color="auto"/>
            </w:tcBorders>
            <w:shd w:val="clear" w:color="auto" w:fill="auto"/>
            <w:vAlign w:val="center"/>
            <w:hideMark/>
          </w:tcPr>
          <w:p w14:paraId="00703F7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26 (5%)</w:t>
            </w:r>
          </w:p>
        </w:tc>
        <w:tc>
          <w:tcPr>
            <w:tcW w:w="916" w:type="dxa"/>
            <w:tcBorders>
              <w:top w:val="nil"/>
              <w:left w:val="nil"/>
              <w:bottom w:val="single" w:sz="4" w:space="0" w:color="auto"/>
              <w:right w:val="single" w:sz="4" w:space="0" w:color="auto"/>
            </w:tcBorders>
            <w:shd w:val="clear" w:color="auto" w:fill="auto"/>
            <w:vAlign w:val="center"/>
            <w:hideMark/>
          </w:tcPr>
          <w:p w14:paraId="6D40151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9 (2%)</w:t>
            </w:r>
          </w:p>
        </w:tc>
        <w:tc>
          <w:tcPr>
            <w:tcW w:w="917" w:type="dxa"/>
            <w:tcBorders>
              <w:top w:val="nil"/>
              <w:left w:val="nil"/>
              <w:bottom w:val="single" w:sz="4" w:space="0" w:color="auto"/>
              <w:right w:val="nil"/>
            </w:tcBorders>
            <w:shd w:val="clear" w:color="auto" w:fill="auto"/>
            <w:vAlign w:val="center"/>
            <w:hideMark/>
          </w:tcPr>
          <w:p w14:paraId="4E770C0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 (2%)</w:t>
            </w:r>
          </w:p>
        </w:tc>
        <w:tc>
          <w:tcPr>
            <w:tcW w:w="916" w:type="dxa"/>
            <w:tcBorders>
              <w:top w:val="nil"/>
              <w:left w:val="single" w:sz="4" w:space="0" w:color="auto"/>
              <w:bottom w:val="nil"/>
              <w:right w:val="single" w:sz="4" w:space="0" w:color="auto"/>
            </w:tcBorders>
            <w:shd w:val="clear" w:color="auto" w:fill="auto"/>
            <w:vAlign w:val="center"/>
            <w:hideMark/>
          </w:tcPr>
          <w:p w14:paraId="48150564"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697CA48B"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6DC152D1"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4539F8DA" w14:textId="77777777" w:rsidTr="00A061AF">
        <w:trPr>
          <w:trHeight w:val="20"/>
        </w:trPr>
        <w:tc>
          <w:tcPr>
            <w:tcW w:w="1357" w:type="dxa"/>
            <w:vMerge w:val="restart"/>
            <w:tcBorders>
              <w:top w:val="nil"/>
              <w:left w:val="single" w:sz="4" w:space="0" w:color="auto"/>
              <w:bottom w:val="single" w:sz="4" w:space="0" w:color="auto"/>
              <w:right w:val="single" w:sz="4" w:space="0" w:color="auto"/>
            </w:tcBorders>
            <w:shd w:val="clear" w:color="auto" w:fill="auto"/>
            <w:vAlign w:val="center"/>
            <w:hideMark/>
          </w:tcPr>
          <w:p w14:paraId="2138207F"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Level of respiratory support</w:t>
            </w:r>
          </w:p>
        </w:tc>
        <w:tc>
          <w:tcPr>
            <w:tcW w:w="1736" w:type="dxa"/>
            <w:tcBorders>
              <w:top w:val="nil"/>
              <w:left w:val="nil"/>
              <w:bottom w:val="single" w:sz="4" w:space="0" w:color="auto"/>
              <w:right w:val="single" w:sz="4" w:space="0" w:color="auto"/>
            </w:tcBorders>
            <w:shd w:val="clear" w:color="auto" w:fill="auto"/>
            <w:vAlign w:val="center"/>
            <w:hideMark/>
          </w:tcPr>
          <w:p w14:paraId="014363A2"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Mechanically ventilated, or ECMO (OS=6)</w:t>
            </w:r>
          </w:p>
        </w:tc>
        <w:tc>
          <w:tcPr>
            <w:tcW w:w="916" w:type="dxa"/>
            <w:tcBorders>
              <w:top w:val="nil"/>
              <w:left w:val="nil"/>
              <w:bottom w:val="single" w:sz="4" w:space="0" w:color="auto"/>
              <w:right w:val="single" w:sz="4" w:space="0" w:color="auto"/>
            </w:tcBorders>
            <w:shd w:val="clear" w:color="auto" w:fill="auto"/>
            <w:vAlign w:val="center"/>
            <w:hideMark/>
          </w:tcPr>
          <w:p w14:paraId="1151F9D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139 (12%)</w:t>
            </w:r>
          </w:p>
        </w:tc>
        <w:tc>
          <w:tcPr>
            <w:tcW w:w="916" w:type="dxa"/>
            <w:tcBorders>
              <w:top w:val="nil"/>
              <w:left w:val="nil"/>
              <w:bottom w:val="single" w:sz="4" w:space="0" w:color="auto"/>
              <w:right w:val="single" w:sz="4" w:space="0" w:color="auto"/>
            </w:tcBorders>
            <w:shd w:val="clear" w:color="auto" w:fill="auto"/>
            <w:vAlign w:val="center"/>
            <w:hideMark/>
          </w:tcPr>
          <w:p w14:paraId="10EBA67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12 (3%)</w:t>
            </w:r>
          </w:p>
        </w:tc>
        <w:tc>
          <w:tcPr>
            <w:tcW w:w="916" w:type="dxa"/>
            <w:tcBorders>
              <w:top w:val="nil"/>
              <w:left w:val="nil"/>
              <w:bottom w:val="single" w:sz="4" w:space="0" w:color="auto"/>
              <w:right w:val="single" w:sz="4" w:space="0" w:color="auto"/>
            </w:tcBorders>
            <w:shd w:val="clear" w:color="auto" w:fill="auto"/>
            <w:vAlign w:val="center"/>
            <w:hideMark/>
          </w:tcPr>
          <w:p w14:paraId="3B5D3ED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64 (17%)</w:t>
            </w:r>
          </w:p>
        </w:tc>
        <w:tc>
          <w:tcPr>
            <w:tcW w:w="917" w:type="dxa"/>
            <w:tcBorders>
              <w:top w:val="nil"/>
              <w:left w:val="nil"/>
              <w:bottom w:val="single" w:sz="4" w:space="0" w:color="auto"/>
              <w:right w:val="nil"/>
            </w:tcBorders>
            <w:shd w:val="clear" w:color="auto" w:fill="auto"/>
            <w:vAlign w:val="center"/>
            <w:hideMark/>
          </w:tcPr>
          <w:p w14:paraId="0341858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63 (19%)</w:t>
            </w:r>
          </w:p>
        </w:tc>
        <w:tc>
          <w:tcPr>
            <w:tcW w:w="916" w:type="dxa"/>
            <w:tcBorders>
              <w:top w:val="single" w:sz="4" w:space="0" w:color="auto"/>
              <w:left w:val="single" w:sz="4" w:space="0" w:color="auto"/>
              <w:bottom w:val="nil"/>
              <w:right w:val="single" w:sz="4" w:space="0" w:color="auto"/>
            </w:tcBorders>
            <w:shd w:val="clear" w:color="auto" w:fill="auto"/>
            <w:vAlign w:val="center"/>
            <w:hideMark/>
          </w:tcPr>
          <w:p w14:paraId="03AB868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&lt;.001</w:t>
            </w:r>
          </w:p>
        </w:tc>
        <w:tc>
          <w:tcPr>
            <w:tcW w:w="916" w:type="dxa"/>
            <w:tcBorders>
              <w:top w:val="single" w:sz="4" w:space="0" w:color="auto"/>
              <w:left w:val="nil"/>
              <w:bottom w:val="nil"/>
              <w:right w:val="single" w:sz="4" w:space="0" w:color="auto"/>
            </w:tcBorders>
            <w:shd w:val="clear" w:color="auto" w:fill="auto"/>
            <w:vAlign w:val="center"/>
            <w:hideMark/>
          </w:tcPr>
          <w:p w14:paraId="6654824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c>
          <w:tcPr>
            <w:tcW w:w="917" w:type="dxa"/>
            <w:tcBorders>
              <w:top w:val="single" w:sz="4" w:space="0" w:color="auto"/>
              <w:left w:val="nil"/>
              <w:bottom w:val="nil"/>
              <w:right w:val="single" w:sz="4" w:space="0" w:color="auto"/>
            </w:tcBorders>
            <w:shd w:val="clear" w:color="auto" w:fill="auto"/>
            <w:vAlign w:val="center"/>
            <w:hideMark/>
          </w:tcPr>
          <w:p w14:paraId="5317703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r>
      <w:tr w:rsidR="00ED752C" w:rsidRPr="0085788D" w14:paraId="2FB940A6"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5C0CA679"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6C5B63A5"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Non-invasive ventilation, or high flow nasal O2 (OS=5)</w:t>
            </w:r>
          </w:p>
        </w:tc>
        <w:tc>
          <w:tcPr>
            <w:tcW w:w="916" w:type="dxa"/>
            <w:tcBorders>
              <w:top w:val="nil"/>
              <w:left w:val="nil"/>
              <w:bottom w:val="single" w:sz="4" w:space="0" w:color="auto"/>
              <w:right w:val="single" w:sz="4" w:space="0" w:color="auto"/>
            </w:tcBorders>
            <w:shd w:val="clear" w:color="auto" w:fill="auto"/>
            <w:vAlign w:val="center"/>
            <w:hideMark/>
          </w:tcPr>
          <w:p w14:paraId="090A9C2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212 (18%)</w:t>
            </w:r>
          </w:p>
        </w:tc>
        <w:tc>
          <w:tcPr>
            <w:tcW w:w="916" w:type="dxa"/>
            <w:tcBorders>
              <w:top w:val="nil"/>
              <w:left w:val="nil"/>
              <w:bottom w:val="single" w:sz="4" w:space="0" w:color="auto"/>
              <w:right w:val="single" w:sz="4" w:space="0" w:color="auto"/>
            </w:tcBorders>
            <w:shd w:val="clear" w:color="auto" w:fill="auto"/>
            <w:vAlign w:val="center"/>
            <w:hideMark/>
          </w:tcPr>
          <w:p w14:paraId="7715CE6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62 (13%)</w:t>
            </w:r>
          </w:p>
        </w:tc>
        <w:tc>
          <w:tcPr>
            <w:tcW w:w="916" w:type="dxa"/>
            <w:tcBorders>
              <w:top w:val="nil"/>
              <w:left w:val="nil"/>
              <w:bottom w:val="single" w:sz="4" w:space="0" w:color="auto"/>
              <w:right w:val="single" w:sz="4" w:space="0" w:color="auto"/>
            </w:tcBorders>
            <w:shd w:val="clear" w:color="auto" w:fill="auto"/>
            <w:vAlign w:val="center"/>
            <w:hideMark/>
          </w:tcPr>
          <w:p w14:paraId="1A9C026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89 (24%)</w:t>
            </w:r>
          </w:p>
        </w:tc>
        <w:tc>
          <w:tcPr>
            <w:tcW w:w="917" w:type="dxa"/>
            <w:tcBorders>
              <w:top w:val="nil"/>
              <w:left w:val="nil"/>
              <w:bottom w:val="single" w:sz="4" w:space="0" w:color="auto"/>
              <w:right w:val="nil"/>
            </w:tcBorders>
            <w:shd w:val="clear" w:color="auto" w:fill="auto"/>
            <w:vAlign w:val="center"/>
            <w:hideMark/>
          </w:tcPr>
          <w:p w14:paraId="6E154A9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61 (19%)</w:t>
            </w:r>
          </w:p>
        </w:tc>
        <w:tc>
          <w:tcPr>
            <w:tcW w:w="916" w:type="dxa"/>
            <w:tcBorders>
              <w:top w:val="nil"/>
              <w:left w:val="single" w:sz="4" w:space="0" w:color="auto"/>
              <w:bottom w:val="nil"/>
              <w:right w:val="single" w:sz="4" w:space="0" w:color="auto"/>
            </w:tcBorders>
            <w:shd w:val="clear" w:color="auto" w:fill="auto"/>
            <w:vAlign w:val="center"/>
            <w:hideMark/>
          </w:tcPr>
          <w:p w14:paraId="41DB518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15D39DC2"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7257DCA9"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317F4628"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70F1E084"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0A3F1B59"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Supplemental oxygen (not high flow) (OS=4)</w:t>
            </w:r>
          </w:p>
        </w:tc>
        <w:tc>
          <w:tcPr>
            <w:tcW w:w="916" w:type="dxa"/>
            <w:tcBorders>
              <w:top w:val="nil"/>
              <w:left w:val="nil"/>
              <w:bottom w:val="single" w:sz="4" w:space="0" w:color="auto"/>
              <w:right w:val="single" w:sz="4" w:space="0" w:color="auto"/>
            </w:tcBorders>
            <w:shd w:val="clear" w:color="auto" w:fill="auto"/>
            <w:vAlign w:val="center"/>
            <w:hideMark/>
          </w:tcPr>
          <w:p w14:paraId="3208CE5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546 (47%)</w:t>
            </w:r>
          </w:p>
        </w:tc>
        <w:tc>
          <w:tcPr>
            <w:tcW w:w="916" w:type="dxa"/>
            <w:tcBorders>
              <w:top w:val="nil"/>
              <w:left w:val="nil"/>
              <w:bottom w:val="single" w:sz="4" w:space="0" w:color="auto"/>
              <w:right w:val="single" w:sz="4" w:space="0" w:color="auto"/>
            </w:tcBorders>
            <w:shd w:val="clear" w:color="auto" w:fill="auto"/>
            <w:vAlign w:val="center"/>
            <w:hideMark/>
          </w:tcPr>
          <w:p w14:paraId="16DFE0F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269 (57%)</w:t>
            </w:r>
          </w:p>
        </w:tc>
        <w:tc>
          <w:tcPr>
            <w:tcW w:w="916" w:type="dxa"/>
            <w:tcBorders>
              <w:top w:val="nil"/>
              <w:left w:val="nil"/>
              <w:bottom w:val="single" w:sz="4" w:space="0" w:color="auto"/>
              <w:right w:val="single" w:sz="4" w:space="0" w:color="auto"/>
            </w:tcBorders>
            <w:shd w:val="clear" w:color="auto" w:fill="auto"/>
            <w:vAlign w:val="center"/>
            <w:hideMark/>
          </w:tcPr>
          <w:p w14:paraId="25C6B1B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159 (43%)</w:t>
            </w:r>
          </w:p>
        </w:tc>
        <w:tc>
          <w:tcPr>
            <w:tcW w:w="917" w:type="dxa"/>
            <w:tcBorders>
              <w:top w:val="nil"/>
              <w:left w:val="nil"/>
              <w:bottom w:val="single" w:sz="4" w:space="0" w:color="auto"/>
              <w:right w:val="nil"/>
            </w:tcBorders>
            <w:shd w:val="clear" w:color="auto" w:fill="auto"/>
            <w:vAlign w:val="center"/>
            <w:hideMark/>
          </w:tcPr>
          <w:p w14:paraId="529C534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118 (36%)</w:t>
            </w:r>
          </w:p>
        </w:tc>
        <w:tc>
          <w:tcPr>
            <w:tcW w:w="916" w:type="dxa"/>
            <w:tcBorders>
              <w:top w:val="nil"/>
              <w:left w:val="single" w:sz="4" w:space="0" w:color="auto"/>
              <w:bottom w:val="nil"/>
              <w:right w:val="single" w:sz="4" w:space="0" w:color="auto"/>
            </w:tcBorders>
            <w:shd w:val="clear" w:color="auto" w:fill="auto"/>
            <w:vAlign w:val="center"/>
            <w:hideMark/>
          </w:tcPr>
          <w:p w14:paraId="5232D109"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028A19BE"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070A4ED7"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5B18DC45"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7AB331E7"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478E6384"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None (OS=3)</w:t>
            </w:r>
          </w:p>
        </w:tc>
        <w:tc>
          <w:tcPr>
            <w:tcW w:w="916" w:type="dxa"/>
            <w:tcBorders>
              <w:top w:val="nil"/>
              <w:left w:val="nil"/>
              <w:bottom w:val="single" w:sz="4" w:space="0" w:color="auto"/>
              <w:right w:val="single" w:sz="4" w:space="0" w:color="auto"/>
            </w:tcBorders>
            <w:shd w:val="clear" w:color="auto" w:fill="auto"/>
            <w:vAlign w:val="center"/>
            <w:hideMark/>
          </w:tcPr>
          <w:p w14:paraId="3C8C931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266 (23%)</w:t>
            </w:r>
          </w:p>
        </w:tc>
        <w:tc>
          <w:tcPr>
            <w:tcW w:w="916" w:type="dxa"/>
            <w:tcBorders>
              <w:top w:val="nil"/>
              <w:left w:val="nil"/>
              <w:bottom w:val="single" w:sz="4" w:space="0" w:color="auto"/>
              <w:right w:val="single" w:sz="4" w:space="0" w:color="auto"/>
            </w:tcBorders>
            <w:shd w:val="clear" w:color="auto" w:fill="auto"/>
            <w:vAlign w:val="center"/>
            <w:hideMark/>
          </w:tcPr>
          <w:p w14:paraId="77F3FF3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131 (28%)</w:t>
            </w:r>
          </w:p>
        </w:tc>
        <w:tc>
          <w:tcPr>
            <w:tcW w:w="916" w:type="dxa"/>
            <w:tcBorders>
              <w:top w:val="nil"/>
              <w:left w:val="nil"/>
              <w:bottom w:val="single" w:sz="4" w:space="0" w:color="auto"/>
              <w:right w:val="single" w:sz="4" w:space="0" w:color="auto"/>
            </w:tcBorders>
            <w:shd w:val="clear" w:color="auto" w:fill="auto"/>
            <w:vAlign w:val="center"/>
            <w:hideMark/>
          </w:tcPr>
          <w:p w14:paraId="6693F39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54 (15%)</w:t>
            </w:r>
          </w:p>
        </w:tc>
        <w:tc>
          <w:tcPr>
            <w:tcW w:w="917" w:type="dxa"/>
            <w:tcBorders>
              <w:top w:val="nil"/>
              <w:left w:val="nil"/>
              <w:bottom w:val="single" w:sz="4" w:space="0" w:color="auto"/>
              <w:right w:val="nil"/>
            </w:tcBorders>
            <w:shd w:val="clear" w:color="auto" w:fill="auto"/>
            <w:vAlign w:val="center"/>
            <w:hideMark/>
          </w:tcPr>
          <w:p w14:paraId="54F4003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81 (25%)</w:t>
            </w:r>
          </w:p>
        </w:tc>
        <w:tc>
          <w:tcPr>
            <w:tcW w:w="916" w:type="dxa"/>
            <w:tcBorders>
              <w:top w:val="nil"/>
              <w:left w:val="single" w:sz="4" w:space="0" w:color="auto"/>
              <w:bottom w:val="nil"/>
              <w:right w:val="single" w:sz="4" w:space="0" w:color="auto"/>
            </w:tcBorders>
            <w:shd w:val="clear" w:color="auto" w:fill="auto"/>
            <w:vAlign w:val="center"/>
            <w:hideMark/>
          </w:tcPr>
          <w:p w14:paraId="2FB9A942"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009F09F2"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704D288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07AFDA93"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63C739FA"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6D080FC6" w14:textId="77777777" w:rsidR="00ED752C" w:rsidRPr="00E41679" w:rsidRDefault="00ED752C" w:rsidP="00A061AF">
            <w:pPr>
              <w:spacing w:after="0" w:line="240" w:lineRule="auto"/>
              <w:rPr>
                <w:rFonts w:ascii="Arial" w:eastAsia="Times New Roman" w:hAnsi="Arial" w:cs="Arial"/>
                <w:color w:val="000000"/>
                <w:sz w:val="13"/>
                <w:szCs w:val="13"/>
              </w:rPr>
            </w:pPr>
            <w:r w:rsidRPr="00E41679">
              <w:rPr>
                <w:rFonts w:ascii="Arial" w:eastAsia="Times New Roman" w:hAnsi="Arial" w:cs="Arial"/>
                <w:color w:val="000000"/>
                <w:sz w:val="13"/>
                <w:szCs w:val="13"/>
              </w:rPr>
              <w:t>Missing</w:t>
            </w:r>
          </w:p>
        </w:tc>
        <w:tc>
          <w:tcPr>
            <w:tcW w:w="916" w:type="dxa"/>
            <w:tcBorders>
              <w:top w:val="nil"/>
              <w:left w:val="nil"/>
              <w:bottom w:val="single" w:sz="4" w:space="0" w:color="auto"/>
              <w:right w:val="single" w:sz="4" w:space="0" w:color="auto"/>
            </w:tcBorders>
            <w:shd w:val="clear" w:color="auto" w:fill="auto"/>
            <w:vAlign w:val="center"/>
            <w:hideMark/>
          </w:tcPr>
          <w:p w14:paraId="6952049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 (0%)</w:t>
            </w:r>
          </w:p>
        </w:tc>
        <w:tc>
          <w:tcPr>
            <w:tcW w:w="916" w:type="dxa"/>
            <w:tcBorders>
              <w:top w:val="nil"/>
              <w:left w:val="nil"/>
              <w:bottom w:val="single" w:sz="4" w:space="0" w:color="auto"/>
              <w:right w:val="single" w:sz="4" w:space="0" w:color="auto"/>
            </w:tcBorders>
            <w:shd w:val="clear" w:color="auto" w:fill="auto"/>
            <w:vAlign w:val="center"/>
            <w:hideMark/>
          </w:tcPr>
          <w:p w14:paraId="0A879AE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 (0%)</w:t>
            </w:r>
          </w:p>
        </w:tc>
        <w:tc>
          <w:tcPr>
            <w:tcW w:w="916" w:type="dxa"/>
            <w:tcBorders>
              <w:top w:val="nil"/>
              <w:left w:val="nil"/>
              <w:bottom w:val="single" w:sz="4" w:space="0" w:color="auto"/>
              <w:right w:val="single" w:sz="4" w:space="0" w:color="auto"/>
            </w:tcBorders>
            <w:shd w:val="clear" w:color="auto" w:fill="auto"/>
            <w:vAlign w:val="center"/>
            <w:hideMark/>
          </w:tcPr>
          <w:p w14:paraId="0F4D8B2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 (0%)</w:t>
            </w:r>
          </w:p>
        </w:tc>
        <w:tc>
          <w:tcPr>
            <w:tcW w:w="917" w:type="dxa"/>
            <w:tcBorders>
              <w:top w:val="nil"/>
              <w:left w:val="nil"/>
              <w:bottom w:val="single" w:sz="4" w:space="0" w:color="auto"/>
              <w:right w:val="nil"/>
            </w:tcBorders>
            <w:shd w:val="clear" w:color="auto" w:fill="auto"/>
            <w:vAlign w:val="center"/>
            <w:hideMark/>
          </w:tcPr>
          <w:p w14:paraId="2CDFE96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 (0%)</w:t>
            </w:r>
          </w:p>
        </w:tc>
        <w:tc>
          <w:tcPr>
            <w:tcW w:w="916" w:type="dxa"/>
            <w:tcBorders>
              <w:top w:val="nil"/>
              <w:left w:val="single" w:sz="4" w:space="0" w:color="auto"/>
              <w:bottom w:val="single" w:sz="4" w:space="0" w:color="auto"/>
              <w:right w:val="single" w:sz="4" w:space="0" w:color="auto"/>
            </w:tcBorders>
            <w:shd w:val="clear" w:color="auto" w:fill="auto"/>
            <w:vAlign w:val="center"/>
            <w:hideMark/>
          </w:tcPr>
          <w:p w14:paraId="2508E709"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single" w:sz="4" w:space="0" w:color="auto"/>
              <w:right w:val="single" w:sz="4" w:space="0" w:color="auto"/>
            </w:tcBorders>
            <w:shd w:val="clear" w:color="auto" w:fill="auto"/>
            <w:vAlign w:val="center"/>
            <w:hideMark/>
          </w:tcPr>
          <w:p w14:paraId="619411F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single" w:sz="4" w:space="0" w:color="auto"/>
              <w:right w:val="single" w:sz="4" w:space="0" w:color="auto"/>
            </w:tcBorders>
            <w:shd w:val="clear" w:color="auto" w:fill="auto"/>
            <w:vAlign w:val="center"/>
            <w:hideMark/>
          </w:tcPr>
          <w:p w14:paraId="08823ECC"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6CBAD43E" w14:textId="77777777" w:rsidTr="00A061AF">
        <w:trPr>
          <w:trHeight w:val="20"/>
        </w:trPr>
        <w:tc>
          <w:tcPr>
            <w:tcW w:w="1357" w:type="dxa"/>
            <w:tcBorders>
              <w:top w:val="nil"/>
              <w:left w:val="single" w:sz="4" w:space="0" w:color="auto"/>
              <w:bottom w:val="single" w:sz="4" w:space="0" w:color="auto"/>
              <w:right w:val="single" w:sz="4" w:space="0" w:color="auto"/>
            </w:tcBorders>
            <w:shd w:val="clear" w:color="auto" w:fill="auto"/>
            <w:vAlign w:val="center"/>
            <w:hideMark/>
          </w:tcPr>
          <w:p w14:paraId="0060F14E"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85788D">
              <w:rPr>
                <w:rFonts w:ascii="Arial" w:eastAsia="Times New Roman" w:hAnsi="Arial" w:cs="Arial"/>
                <w:b/>
                <w:bCs/>
                <w:color w:val="000000"/>
                <w:sz w:val="13"/>
                <w:szCs w:val="13"/>
              </w:rPr>
              <w:t>Receipt of steroids</w:t>
            </w:r>
          </w:p>
        </w:tc>
        <w:tc>
          <w:tcPr>
            <w:tcW w:w="1736" w:type="dxa"/>
            <w:tcBorders>
              <w:top w:val="nil"/>
              <w:left w:val="nil"/>
              <w:bottom w:val="single" w:sz="4" w:space="0" w:color="auto"/>
              <w:right w:val="single" w:sz="4" w:space="0" w:color="auto"/>
            </w:tcBorders>
            <w:shd w:val="clear" w:color="auto" w:fill="auto"/>
            <w:vAlign w:val="center"/>
            <w:hideMark/>
          </w:tcPr>
          <w:p w14:paraId="2215DDC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single" w:sz="4" w:space="0" w:color="auto"/>
              <w:right w:val="single" w:sz="4" w:space="0" w:color="auto"/>
            </w:tcBorders>
            <w:shd w:val="clear" w:color="auto" w:fill="auto"/>
            <w:vAlign w:val="center"/>
            <w:hideMark/>
          </w:tcPr>
          <w:p w14:paraId="3BEA0E1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793 (68%)</w:t>
            </w:r>
          </w:p>
        </w:tc>
        <w:tc>
          <w:tcPr>
            <w:tcW w:w="916" w:type="dxa"/>
            <w:tcBorders>
              <w:top w:val="nil"/>
              <w:left w:val="nil"/>
              <w:bottom w:val="single" w:sz="4" w:space="0" w:color="auto"/>
              <w:right w:val="single" w:sz="4" w:space="0" w:color="auto"/>
            </w:tcBorders>
            <w:shd w:val="clear" w:color="auto" w:fill="auto"/>
            <w:vAlign w:val="center"/>
            <w:hideMark/>
          </w:tcPr>
          <w:p w14:paraId="1D2B2E5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273 (58%)</w:t>
            </w:r>
          </w:p>
        </w:tc>
        <w:tc>
          <w:tcPr>
            <w:tcW w:w="916" w:type="dxa"/>
            <w:tcBorders>
              <w:top w:val="nil"/>
              <w:left w:val="nil"/>
              <w:bottom w:val="single" w:sz="4" w:space="0" w:color="auto"/>
              <w:right w:val="single" w:sz="4" w:space="0" w:color="auto"/>
            </w:tcBorders>
            <w:shd w:val="clear" w:color="auto" w:fill="auto"/>
            <w:vAlign w:val="center"/>
            <w:hideMark/>
          </w:tcPr>
          <w:p w14:paraId="1C9DC35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291 (80%)</w:t>
            </w:r>
          </w:p>
        </w:tc>
        <w:tc>
          <w:tcPr>
            <w:tcW w:w="917" w:type="dxa"/>
            <w:tcBorders>
              <w:top w:val="nil"/>
              <w:left w:val="nil"/>
              <w:bottom w:val="single" w:sz="4" w:space="0" w:color="auto"/>
              <w:right w:val="single" w:sz="4" w:space="0" w:color="auto"/>
            </w:tcBorders>
            <w:shd w:val="clear" w:color="auto" w:fill="auto"/>
            <w:vAlign w:val="center"/>
            <w:hideMark/>
          </w:tcPr>
          <w:p w14:paraId="6B5B53C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229 (71%)</w:t>
            </w:r>
          </w:p>
        </w:tc>
        <w:tc>
          <w:tcPr>
            <w:tcW w:w="916" w:type="dxa"/>
            <w:tcBorders>
              <w:top w:val="nil"/>
              <w:left w:val="nil"/>
              <w:bottom w:val="single" w:sz="4" w:space="0" w:color="auto"/>
              <w:right w:val="single" w:sz="4" w:space="0" w:color="auto"/>
            </w:tcBorders>
            <w:shd w:val="clear" w:color="auto" w:fill="auto"/>
            <w:vAlign w:val="center"/>
            <w:hideMark/>
          </w:tcPr>
          <w:p w14:paraId="29AA6A4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&lt;.001</w:t>
            </w:r>
          </w:p>
        </w:tc>
        <w:tc>
          <w:tcPr>
            <w:tcW w:w="916" w:type="dxa"/>
            <w:tcBorders>
              <w:top w:val="nil"/>
              <w:left w:val="nil"/>
              <w:bottom w:val="single" w:sz="4" w:space="0" w:color="auto"/>
              <w:right w:val="single" w:sz="4" w:space="0" w:color="auto"/>
            </w:tcBorders>
            <w:shd w:val="clear" w:color="auto" w:fill="auto"/>
            <w:vAlign w:val="center"/>
            <w:hideMark/>
          </w:tcPr>
          <w:p w14:paraId="09BB6C2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c>
          <w:tcPr>
            <w:tcW w:w="917" w:type="dxa"/>
            <w:tcBorders>
              <w:top w:val="nil"/>
              <w:left w:val="nil"/>
              <w:bottom w:val="single" w:sz="4" w:space="0" w:color="auto"/>
              <w:right w:val="single" w:sz="4" w:space="0" w:color="auto"/>
            </w:tcBorders>
            <w:shd w:val="clear" w:color="auto" w:fill="auto"/>
            <w:vAlign w:val="center"/>
            <w:hideMark/>
          </w:tcPr>
          <w:p w14:paraId="7631BA0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r>
      <w:tr w:rsidR="00ED752C" w:rsidRPr="0085788D" w14:paraId="7900F509" w14:textId="77777777" w:rsidTr="00A061AF">
        <w:trPr>
          <w:trHeight w:val="20"/>
        </w:trPr>
        <w:tc>
          <w:tcPr>
            <w:tcW w:w="1357" w:type="dxa"/>
            <w:tcBorders>
              <w:top w:val="nil"/>
              <w:left w:val="single" w:sz="4" w:space="0" w:color="auto"/>
              <w:bottom w:val="single" w:sz="4" w:space="0" w:color="auto"/>
              <w:right w:val="single" w:sz="4" w:space="0" w:color="auto"/>
            </w:tcBorders>
            <w:shd w:val="clear" w:color="auto" w:fill="auto"/>
            <w:vAlign w:val="center"/>
            <w:hideMark/>
          </w:tcPr>
          <w:p w14:paraId="566D3ACB"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E41679">
              <w:rPr>
                <w:rFonts w:ascii="Arial" w:eastAsia="Times New Roman" w:hAnsi="Arial" w:cs="Arial"/>
                <w:b/>
                <w:bCs/>
                <w:color w:val="000000"/>
                <w:sz w:val="13"/>
                <w:szCs w:val="13"/>
              </w:rPr>
              <w:t>Length of stay (days)</w:t>
            </w:r>
          </w:p>
        </w:tc>
        <w:tc>
          <w:tcPr>
            <w:tcW w:w="1736" w:type="dxa"/>
            <w:tcBorders>
              <w:top w:val="nil"/>
              <w:left w:val="nil"/>
              <w:bottom w:val="single" w:sz="4" w:space="0" w:color="auto"/>
              <w:right w:val="single" w:sz="4" w:space="0" w:color="auto"/>
            </w:tcBorders>
            <w:shd w:val="clear" w:color="auto" w:fill="auto"/>
            <w:vAlign w:val="center"/>
            <w:hideMark/>
          </w:tcPr>
          <w:p w14:paraId="377569B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single" w:sz="4" w:space="0" w:color="auto"/>
              <w:right w:val="single" w:sz="4" w:space="0" w:color="auto"/>
            </w:tcBorders>
            <w:shd w:val="clear" w:color="auto" w:fill="auto"/>
            <w:vAlign w:val="center"/>
            <w:hideMark/>
          </w:tcPr>
          <w:p w14:paraId="2E6587D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6.0 (8.0)</w:t>
            </w:r>
          </w:p>
        </w:tc>
        <w:tc>
          <w:tcPr>
            <w:tcW w:w="916" w:type="dxa"/>
            <w:tcBorders>
              <w:top w:val="nil"/>
              <w:left w:val="nil"/>
              <w:bottom w:val="single" w:sz="4" w:space="0" w:color="auto"/>
              <w:right w:val="single" w:sz="4" w:space="0" w:color="auto"/>
            </w:tcBorders>
            <w:shd w:val="clear" w:color="auto" w:fill="auto"/>
            <w:vAlign w:val="center"/>
            <w:hideMark/>
          </w:tcPr>
          <w:p w14:paraId="081A2931"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5.0 (5.0)</w:t>
            </w:r>
          </w:p>
        </w:tc>
        <w:tc>
          <w:tcPr>
            <w:tcW w:w="916" w:type="dxa"/>
            <w:tcBorders>
              <w:top w:val="nil"/>
              <w:left w:val="nil"/>
              <w:bottom w:val="single" w:sz="4" w:space="0" w:color="auto"/>
              <w:right w:val="single" w:sz="4" w:space="0" w:color="auto"/>
            </w:tcBorders>
            <w:shd w:val="clear" w:color="auto" w:fill="auto"/>
            <w:vAlign w:val="center"/>
            <w:hideMark/>
          </w:tcPr>
          <w:p w14:paraId="6EAAF29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7.0 (9.0)</w:t>
            </w:r>
          </w:p>
        </w:tc>
        <w:tc>
          <w:tcPr>
            <w:tcW w:w="917" w:type="dxa"/>
            <w:tcBorders>
              <w:top w:val="nil"/>
              <w:left w:val="nil"/>
              <w:bottom w:val="single" w:sz="4" w:space="0" w:color="auto"/>
              <w:right w:val="single" w:sz="4" w:space="0" w:color="auto"/>
            </w:tcBorders>
            <w:shd w:val="clear" w:color="auto" w:fill="auto"/>
            <w:vAlign w:val="center"/>
            <w:hideMark/>
          </w:tcPr>
          <w:p w14:paraId="2F29C17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8.0 (13.0)</w:t>
            </w:r>
          </w:p>
        </w:tc>
        <w:tc>
          <w:tcPr>
            <w:tcW w:w="916" w:type="dxa"/>
            <w:tcBorders>
              <w:top w:val="nil"/>
              <w:left w:val="nil"/>
              <w:bottom w:val="nil"/>
              <w:right w:val="single" w:sz="4" w:space="0" w:color="auto"/>
            </w:tcBorders>
            <w:shd w:val="clear" w:color="auto" w:fill="auto"/>
            <w:vAlign w:val="center"/>
            <w:hideMark/>
          </w:tcPr>
          <w:p w14:paraId="6FEF724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&lt;.001</w:t>
            </w:r>
          </w:p>
        </w:tc>
        <w:tc>
          <w:tcPr>
            <w:tcW w:w="916" w:type="dxa"/>
            <w:tcBorders>
              <w:top w:val="nil"/>
              <w:left w:val="nil"/>
              <w:bottom w:val="nil"/>
              <w:right w:val="single" w:sz="4" w:space="0" w:color="auto"/>
            </w:tcBorders>
            <w:shd w:val="clear" w:color="auto" w:fill="auto"/>
            <w:vAlign w:val="center"/>
            <w:hideMark/>
          </w:tcPr>
          <w:p w14:paraId="5000FB2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c>
          <w:tcPr>
            <w:tcW w:w="917" w:type="dxa"/>
            <w:tcBorders>
              <w:top w:val="nil"/>
              <w:left w:val="nil"/>
              <w:bottom w:val="nil"/>
              <w:right w:val="single" w:sz="4" w:space="0" w:color="auto"/>
            </w:tcBorders>
            <w:shd w:val="clear" w:color="auto" w:fill="auto"/>
            <w:vAlign w:val="center"/>
            <w:hideMark/>
          </w:tcPr>
          <w:p w14:paraId="50AF87F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r>
      <w:tr w:rsidR="00ED752C" w:rsidRPr="0085788D" w14:paraId="1C13E7AD" w14:textId="77777777" w:rsidTr="00A061AF">
        <w:trPr>
          <w:trHeight w:val="20"/>
        </w:trPr>
        <w:tc>
          <w:tcPr>
            <w:tcW w:w="1357" w:type="dxa"/>
            <w:vMerge w:val="restart"/>
            <w:tcBorders>
              <w:top w:val="nil"/>
              <w:left w:val="single" w:sz="4" w:space="0" w:color="auto"/>
              <w:bottom w:val="single" w:sz="4" w:space="0" w:color="auto"/>
              <w:right w:val="single" w:sz="4" w:space="0" w:color="auto"/>
            </w:tcBorders>
            <w:shd w:val="clear" w:color="auto" w:fill="auto"/>
            <w:vAlign w:val="center"/>
            <w:hideMark/>
          </w:tcPr>
          <w:p w14:paraId="34C54B56"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r w:rsidRPr="0085788D">
              <w:rPr>
                <w:rFonts w:ascii="Arial" w:eastAsia="Times New Roman" w:hAnsi="Arial" w:cs="Arial"/>
                <w:b/>
                <w:bCs/>
                <w:color w:val="000000"/>
                <w:sz w:val="13"/>
                <w:szCs w:val="13"/>
              </w:rPr>
              <w:t xml:space="preserve">COVID-19 severity </w:t>
            </w:r>
            <w:r w:rsidRPr="00E41679">
              <w:rPr>
                <w:rFonts w:ascii="Arial" w:eastAsia="Times New Roman" w:hAnsi="Arial" w:cs="Arial"/>
                <w:b/>
                <w:bCs/>
                <w:color w:val="000000"/>
                <w:sz w:val="13"/>
                <w:szCs w:val="13"/>
              </w:rPr>
              <w:t>trajectory group</w:t>
            </w:r>
          </w:p>
        </w:tc>
        <w:tc>
          <w:tcPr>
            <w:tcW w:w="1736" w:type="dxa"/>
            <w:tcBorders>
              <w:top w:val="nil"/>
              <w:left w:val="nil"/>
              <w:bottom w:val="single" w:sz="4" w:space="0" w:color="auto"/>
              <w:right w:val="single" w:sz="4" w:space="0" w:color="auto"/>
            </w:tcBorders>
            <w:shd w:val="clear" w:color="auto" w:fill="auto"/>
            <w:vAlign w:val="center"/>
            <w:hideMark/>
          </w:tcPr>
          <w:p w14:paraId="0FE7FFD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w:t>
            </w:r>
          </w:p>
        </w:tc>
        <w:tc>
          <w:tcPr>
            <w:tcW w:w="916" w:type="dxa"/>
            <w:tcBorders>
              <w:top w:val="nil"/>
              <w:left w:val="nil"/>
              <w:bottom w:val="single" w:sz="4" w:space="0" w:color="auto"/>
              <w:right w:val="single" w:sz="4" w:space="0" w:color="auto"/>
            </w:tcBorders>
            <w:shd w:val="clear" w:color="auto" w:fill="auto"/>
            <w:vAlign w:val="center"/>
            <w:hideMark/>
          </w:tcPr>
          <w:p w14:paraId="524E3CD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232 (20%)</w:t>
            </w:r>
          </w:p>
        </w:tc>
        <w:tc>
          <w:tcPr>
            <w:tcW w:w="916" w:type="dxa"/>
            <w:tcBorders>
              <w:top w:val="nil"/>
              <w:left w:val="nil"/>
              <w:bottom w:val="single" w:sz="4" w:space="0" w:color="auto"/>
              <w:right w:val="single" w:sz="4" w:space="0" w:color="auto"/>
            </w:tcBorders>
            <w:shd w:val="clear" w:color="auto" w:fill="auto"/>
            <w:vAlign w:val="center"/>
            <w:hideMark/>
          </w:tcPr>
          <w:p w14:paraId="1E80A8E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126 (27%)</w:t>
            </w:r>
          </w:p>
        </w:tc>
        <w:tc>
          <w:tcPr>
            <w:tcW w:w="916" w:type="dxa"/>
            <w:tcBorders>
              <w:top w:val="nil"/>
              <w:left w:val="nil"/>
              <w:bottom w:val="single" w:sz="4" w:space="0" w:color="auto"/>
              <w:right w:val="single" w:sz="4" w:space="0" w:color="auto"/>
            </w:tcBorders>
            <w:shd w:val="clear" w:color="auto" w:fill="auto"/>
            <w:vAlign w:val="center"/>
            <w:hideMark/>
          </w:tcPr>
          <w:p w14:paraId="48DC3A2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49 (13%)</w:t>
            </w:r>
          </w:p>
        </w:tc>
        <w:tc>
          <w:tcPr>
            <w:tcW w:w="917" w:type="dxa"/>
            <w:tcBorders>
              <w:top w:val="nil"/>
              <w:left w:val="nil"/>
              <w:bottom w:val="single" w:sz="4" w:space="0" w:color="auto"/>
              <w:right w:val="nil"/>
            </w:tcBorders>
            <w:shd w:val="clear" w:color="auto" w:fill="auto"/>
            <w:vAlign w:val="center"/>
            <w:hideMark/>
          </w:tcPr>
          <w:p w14:paraId="43AF9F4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57 (18%)</w:t>
            </w:r>
          </w:p>
        </w:tc>
        <w:tc>
          <w:tcPr>
            <w:tcW w:w="916" w:type="dxa"/>
            <w:tcBorders>
              <w:top w:val="single" w:sz="4" w:space="0" w:color="auto"/>
              <w:left w:val="single" w:sz="4" w:space="0" w:color="auto"/>
              <w:bottom w:val="nil"/>
              <w:right w:val="single" w:sz="4" w:space="0" w:color="auto"/>
            </w:tcBorders>
            <w:shd w:val="clear" w:color="auto" w:fill="auto"/>
            <w:vAlign w:val="center"/>
            <w:hideMark/>
          </w:tcPr>
          <w:p w14:paraId="437ED1C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&lt;.001</w:t>
            </w:r>
          </w:p>
        </w:tc>
        <w:tc>
          <w:tcPr>
            <w:tcW w:w="916" w:type="dxa"/>
            <w:tcBorders>
              <w:top w:val="single" w:sz="4" w:space="0" w:color="auto"/>
              <w:left w:val="nil"/>
              <w:bottom w:val="nil"/>
              <w:right w:val="single" w:sz="4" w:space="0" w:color="auto"/>
            </w:tcBorders>
            <w:shd w:val="clear" w:color="auto" w:fill="auto"/>
            <w:vAlign w:val="center"/>
            <w:hideMark/>
          </w:tcPr>
          <w:p w14:paraId="73423E0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c>
          <w:tcPr>
            <w:tcW w:w="917" w:type="dxa"/>
            <w:tcBorders>
              <w:top w:val="single" w:sz="4" w:space="0" w:color="auto"/>
              <w:left w:val="nil"/>
              <w:bottom w:val="nil"/>
              <w:right w:val="single" w:sz="4" w:space="0" w:color="auto"/>
            </w:tcBorders>
            <w:shd w:val="clear" w:color="auto" w:fill="auto"/>
            <w:vAlign w:val="center"/>
            <w:hideMark/>
          </w:tcPr>
          <w:p w14:paraId="4F521C48"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0.000</w:t>
            </w:r>
          </w:p>
        </w:tc>
      </w:tr>
      <w:tr w:rsidR="00ED752C" w:rsidRPr="0085788D" w14:paraId="5AFC855E"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42AB9271"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4B1DD48A"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w:t>
            </w:r>
          </w:p>
        </w:tc>
        <w:tc>
          <w:tcPr>
            <w:tcW w:w="916" w:type="dxa"/>
            <w:tcBorders>
              <w:top w:val="nil"/>
              <w:left w:val="nil"/>
              <w:bottom w:val="single" w:sz="4" w:space="0" w:color="auto"/>
              <w:right w:val="single" w:sz="4" w:space="0" w:color="auto"/>
            </w:tcBorders>
            <w:shd w:val="clear" w:color="auto" w:fill="auto"/>
            <w:vAlign w:val="center"/>
            <w:hideMark/>
          </w:tcPr>
          <w:p w14:paraId="526F83A7"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265 (23%)</w:t>
            </w:r>
          </w:p>
        </w:tc>
        <w:tc>
          <w:tcPr>
            <w:tcW w:w="916" w:type="dxa"/>
            <w:tcBorders>
              <w:top w:val="nil"/>
              <w:left w:val="nil"/>
              <w:bottom w:val="single" w:sz="4" w:space="0" w:color="auto"/>
              <w:right w:val="single" w:sz="4" w:space="0" w:color="auto"/>
            </w:tcBorders>
            <w:shd w:val="clear" w:color="auto" w:fill="auto"/>
            <w:vAlign w:val="center"/>
            <w:hideMark/>
          </w:tcPr>
          <w:p w14:paraId="1B1A8F7D"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128 (27%)</w:t>
            </w:r>
          </w:p>
        </w:tc>
        <w:tc>
          <w:tcPr>
            <w:tcW w:w="916" w:type="dxa"/>
            <w:tcBorders>
              <w:top w:val="nil"/>
              <w:left w:val="nil"/>
              <w:bottom w:val="single" w:sz="4" w:space="0" w:color="auto"/>
              <w:right w:val="single" w:sz="4" w:space="0" w:color="auto"/>
            </w:tcBorders>
            <w:shd w:val="clear" w:color="auto" w:fill="auto"/>
            <w:vAlign w:val="center"/>
            <w:hideMark/>
          </w:tcPr>
          <w:p w14:paraId="64FF5E8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82 (22%)</w:t>
            </w:r>
          </w:p>
        </w:tc>
        <w:tc>
          <w:tcPr>
            <w:tcW w:w="917" w:type="dxa"/>
            <w:tcBorders>
              <w:top w:val="nil"/>
              <w:left w:val="nil"/>
              <w:bottom w:val="single" w:sz="4" w:space="0" w:color="auto"/>
              <w:right w:val="nil"/>
            </w:tcBorders>
            <w:shd w:val="clear" w:color="auto" w:fill="auto"/>
            <w:vAlign w:val="center"/>
            <w:hideMark/>
          </w:tcPr>
          <w:p w14:paraId="33D9B8F5"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55 (17%)</w:t>
            </w:r>
          </w:p>
        </w:tc>
        <w:tc>
          <w:tcPr>
            <w:tcW w:w="916" w:type="dxa"/>
            <w:tcBorders>
              <w:top w:val="nil"/>
              <w:left w:val="single" w:sz="4" w:space="0" w:color="auto"/>
              <w:bottom w:val="nil"/>
              <w:right w:val="single" w:sz="4" w:space="0" w:color="auto"/>
            </w:tcBorders>
            <w:shd w:val="clear" w:color="auto" w:fill="auto"/>
            <w:vAlign w:val="center"/>
            <w:hideMark/>
          </w:tcPr>
          <w:p w14:paraId="42996206"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115263EA"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20CFB26B"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0C31B0E3"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24954077"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0CD6DC7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w:t>
            </w:r>
          </w:p>
        </w:tc>
        <w:tc>
          <w:tcPr>
            <w:tcW w:w="916" w:type="dxa"/>
            <w:tcBorders>
              <w:top w:val="nil"/>
              <w:left w:val="nil"/>
              <w:bottom w:val="single" w:sz="4" w:space="0" w:color="auto"/>
              <w:right w:val="single" w:sz="4" w:space="0" w:color="auto"/>
            </w:tcBorders>
            <w:shd w:val="clear" w:color="auto" w:fill="auto"/>
            <w:vAlign w:val="center"/>
            <w:hideMark/>
          </w:tcPr>
          <w:p w14:paraId="29D5774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337 (29%)</w:t>
            </w:r>
          </w:p>
        </w:tc>
        <w:tc>
          <w:tcPr>
            <w:tcW w:w="916" w:type="dxa"/>
            <w:tcBorders>
              <w:top w:val="nil"/>
              <w:left w:val="nil"/>
              <w:bottom w:val="single" w:sz="4" w:space="0" w:color="auto"/>
              <w:right w:val="single" w:sz="4" w:space="0" w:color="auto"/>
            </w:tcBorders>
            <w:shd w:val="clear" w:color="auto" w:fill="auto"/>
            <w:vAlign w:val="center"/>
            <w:hideMark/>
          </w:tcPr>
          <w:p w14:paraId="7D4DF71E"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166 (35%)</w:t>
            </w:r>
          </w:p>
        </w:tc>
        <w:tc>
          <w:tcPr>
            <w:tcW w:w="916" w:type="dxa"/>
            <w:tcBorders>
              <w:top w:val="nil"/>
              <w:left w:val="nil"/>
              <w:bottom w:val="single" w:sz="4" w:space="0" w:color="auto"/>
              <w:right w:val="single" w:sz="4" w:space="0" w:color="auto"/>
            </w:tcBorders>
            <w:shd w:val="clear" w:color="auto" w:fill="auto"/>
            <w:vAlign w:val="center"/>
            <w:hideMark/>
          </w:tcPr>
          <w:p w14:paraId="330E44AB"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99 (27%)</w:t>
            </w:r>
          </w:p>
        </w:tc>
        <w:tc>
          <w:tcPr>
            <w:tcW w:w="917" w:type="dxa"/>
            <w:tcBorders>
              <w:top w:val="nil"/>
              <w:left w:val="nil"/>
              <w:bottom w:val="single" w:sz="4" w:space="0" w:color="auto"/>
              <w:right w:val="nil"/>
            </w:tcBorders>
            <w:shd w:val="clear" w:color="auto" w:fill="auto"/>
            <w:vAlign w:val="center"/>
            <w:hideMark/>
          </w:tcPr>
          <w:p w14:paraId="456D16E2"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72 (22%)</w:t>
            </w:r>
          </w:p>
        </w:tc>
        <w:tc>
          <w:tcPr>
            <w:tcW w:w="916" w:type="dxa"/>
            <w:tcBorders>
              <w:top w:val="nil"/>
              <w:left w:val="single" w:sz="4" w:space="0" w:color="auto"/>
              <w:bottom w:val="nil"/>
              <w:right w:val="single" w:sz="4" w:space="0" w:color="auto"/>
            </w:tcBorders>
            <w:shd w:val="clear" w:color="auto" w:fill="auto"/>
            <w:vAlign w:val="center"/>
            <w:hideMark/>
          </w:tcPr>
          <w:p w14:paraId="0513AFE0"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5F4EDAB2"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6F28D2F3"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251FEB22"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695BAAA3"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7CAE1590"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w:t>
            </w:r>
          </w:p>
        </w:tc>
        <w:tc>
          <w:tcPr>
            <w:tcW w:w="916" w:type="dxa"/>
            <w:tcBorders>
              <w:top w:val="nil"/>
              <w:left w:val="nil"/>
              <w:bottom w:val="single" w:sz="4" w:space="0" w:color="auto"/>
              <w:right w:val="single" w:sz="4" w:space="0" w:color="auto"/>
            </w:tcBorders>
            <w:shd w:val="clear" w:color="auto" w:fill="auto"/>
            <w:vAlign w:val="center"/>
            <w:hideMark/>
          </w:tcPr>
          <w:p w14:paraId="3D7E3A29"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222 (19%)</w:t>
            </w:r>
          </w:p>
        </w:tc>
        <w:tc>
          <w:tcPr>
            <w:tcW w:w="916" w:type="dxa"/>
            <w:tcBorders>
              <w:top w:val="nil"/>
              <w:left w:val="nil"/>
              <w:bottom w:val="single" w:sz="4" w:space="0" w:color="auto"/>
              <w:right w:val="single" w:sz="4" w:space="0" w:color="auto"/>
            </w:tcBorders>
            <w:shd w:val="clear" w:color="auto" w:fill="auto"/>
            <w:vAlign w:val="center"/>
            <w:hideMark/>
          </w:tcPr>
          <w:p w14:paraId="2E8A12A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42 (9%)</w:t>
            </w:r>
          </w:p>
        </w:tc>
        <w:tc>
          <w:tcPr>
            <w:tcW w:w="916" w:type="dxa"/>
            <w:tcBorders>
              <w:top w:val="nil"/>
              <w:left w:val="nil"/>
              <w:bottom w:val="single" w:sz="4" w:space="0" w:color="auto"/>
              <w:right w:val="single" w:sz="4" w:space="0" w:color="auto"/>
            </w:tcBorders>
            <w:shd w:val="clear" w:color="auto" w:fill="auto"/>
            <w:vAlign w:val="center"/>
            <w:hideMark/>
          </w:tcPr>
          <w:p w14:paraId="01FB8A9C"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97 (27%)</w:t>
            </w:r>
          </w:p>
        </w:tc>
        <w:tc>
          <w:tcPr>
            <w:tcW w:w="917" w:type="dxa"/>
            <w:tcBorders>
              <w:top w:val="nil"/>
              <w:left w:val="nil"/>
              <w:bottom w:val="single" w:sz="4" w:space="0" w:color="auto"/>
              <w:right w:val="nil"/>
            </w:tcBorders>
            <w:shd w:val="clear" w:color="auto" w:fill="auto"/>
            <w:vAlign w:val="center"/>
            <w:hideMark/>
          </w:tcPr>
          <w:p w14:paraId="2A013DA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83 (26%)</w:t>
            </w:r>
          </w:p>
        </w:tc>
        <w:tc>
          <w:tcPr>
            <w:tcW w:w="916" w:type="dxa"/>
            <w:tcBorders>
              <w:top w:val="nil"/>
              <w:left w:val="single" w:sz="4" w:space="0" w:color="auto"/>
              <w:bottom w:val="nil"/>
              <w:right w:val="single" w:sz="4" w:space="0" w:color="auto"/>
            </w:tcBorders>
            <w:shd w:val="clear" w:color="auto" w:fill="auto"/>
            <w:vAlign w:val="center"/>
            <w:hideMark/>
          </w:tcPr>
          <w:p w14:paraId="0CA6948D"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nil"/>
              <w:right w:val="single" w:sz="4" w:space="0" w:color="auto"/>
            </w:tcBorders>
            <w:shd w:val="clear" w:color="auto" w:fill="auto"/>
            <w:vAlign w:val="center"/>
            <w:hideMark/>
          </w:tcPr>
          <w:p w14:paraId="6D9D92C7"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nil"/>
              <w:right w:val="single" w:sz="4" w:space="0" w:color="auto"/>
            </w:tcBorders>
            <w:shd w:val="clear" w:color="auto" w:fill="auto"/>
            <w:vAlign w:val="center"/>
            <w:hideMark/>
          </w:tcPr>
          <w:p w14:paraId="5114C6EA"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r w:rsidR="00ED752C" w:rsidRPr="0085788D" w14:paraId="5D59269D" w14:textId="77777777" w:rsidTr="00A061AF">
        <w:trPr>
          <w:trHeight w:val="20"/>
        </w:trPr>
        <w:tc>
          <w:tcPr>
            <w:tcW w:w="1357" w:type="dxa"/>
            <w:vMerge/>
            <w:tcBorders>
              <w:top w:val="nil"/>
              <w:left w:val="single" w:sz="4" w:space="0" w:color="auto"/>
              <w:bottom w:val="single" w:sz="4" w:space="0" w:color="auto"/>
              <w:right w:val="single" w:sz="4" w:space="0" w:color="auto"/>
            </w:tcBorders>
            <w:vAlign w:val="center"/>
            <w:hideMark/>
          </w:tcPr>
          <w:p w14:paraId="548C2EF3" w14:textId="77777777" w:rsidR="00ED752C" w:rsidRPr="00E41679" w:rsidRDefault="00ED752C" w:rsidP="00A061AF">
            <w:pPr>
              <w:spacing w:after="0" w:line="240" w:lineRule="auto"/>
              <w:jc w:val="center"/>
              <w:rPr>
                <w:rFonts w:ascii="Arial" w:eastAsia="Times New Roman" w:hAnsi="Arial" w:cs="Arial"/>
                <w:b/>
                <w:bCs/>
                <w:color w:val="000000"/>
                <w:sz w:val="13"/>
                <w:szCs w:val="13"/>
              </w:rPr>
            </w:pPr>
          </w:p>
        </w:tc>
        <w:tc>
          <w:tcPr>
            <w:tcW w:w="1736" w:type="dxa"/>
            <w:tcBorders>
              <w:top w:val="nil"/>
              <w:left w:val="nil"/>
              <w:bottom w:val="single" w:sz="4" w:space="0" w:color="auto"/>
              <w:right w:val="single" w:sz="4" w:space="0" w:color="auto"/>
            </w:tcBorders>
            <w:shd w:val="clear" w:color="auto" w:fill="auto"/>
            <w:vAlign w:val="center"/>
            <w:hideMark/>
          </w:tcPr>
          <w:p w14:paraId="20F1F19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w:t>
            </w:r>
          </w:p>
        </w:tc>
        <w:tc>
          <w:tcPr>
            <w:tcW w:w="916" w:type="dxa"/>
            <w:tcBorders>
              <w:top w:val="nil"/>
              <w:left w:val="nil"/>
              <w:bottom w:val="single" w:sz="4" w:space="0" w:color="auto"/>
              <w:right w:val="single" w:sz="4" w:space="0" w:color="auto"/>
            </w:tcBorders>
            <w:shd w:val="clear" w:color="auto" w:fill="auto"/>
            <w:vAlign w:val="center"/>
            <w:hideMark/>
          </w:tcPr>
          <w:p w14:paraId="7CCD714F"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108 (9%)</w:t>
            </w:r>
          </w:p>
        </w:tc>
        <w:tc>
          <w:tcPr>
            <w:tcW w:w="916" w:type="dxa"/>
            <w:tcBorders>
              <w:top w:val="nil"/>
              <w:left w:val="nil"/>
              <w:bottom w:val="single" w:sz="4" w:space="0" w:color="auto"/>
              <w:right w:val="single" w:sz="4" w:space="0" w:color="auto"/>
            </w:tcBorders>
            <w:shd w:val="clear" w:color="auto" w:fill="auto"/>
            <w:vAlign w:val="center"/>
            <w:hideMark/>
          </w:tcPr>
          <w:p w14:paraId="7080ECE4"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12 (3%)</w:t>
            </w:r>
          </w:p>
        </w:tc>
        <w:tc>
          <w:tcPr>
            <w:tcW w:w="916" w:type="dxa"/>
            <w:tcBorders>
              <w:top w:val="nil"/>
              <w:left w:val="nil"/>
              <w:bottom w:val="single" w:sz="4" w:space="0" w:color="auto"/>
              <w:right w:val="single" w:sz="4" w:space="0" w:color="auto"/>
            </w:tcBorders>
            <w:shd w:val="clear" w:color="auto" w:fill="auto"/>
            <w:vAlign w:val="center"/>
            <w:hideMark/>
          </w:tcPr>
          <w:p w14:paraId="1D0CD726"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39 (11%)</w:t>
            </w:r>
          </w:p>
        </w:tc>
        <w:tc>
          <w:tcPr>
            <w:tcW w:w="917" w:type="dxa"/>
            <w:tcBorders>
              <w:top w:val="nil"/>
              <w:left w:val="nil"/>
              <w:bottom w:val="single" w:sz="4" w:space="0" w:color="auto"/>
              <w:right w:val="nil"/>
            </w:tcBorders>
            <w:shd w:val="clear" w:color="auto" w:fill="auto"/>
            <w:vAlign w:val="center"/>
            <w:hideMark/>
          </w:tcPr>
          <w:p w14:paraId="10A68B13" w14:textId="77777777" w:rsidR="00ED752C" w:rsidRPr="00E41679" w:rsidRDefault="00ED752C" w:rsidP="00A061AF">
            <w:pPr>
              <w:spacing w:after="0" w:line="240" w:lineRule="auto"/>
              <w:jc w:val="center"/>
              <w:rPr>
                <w:rFonts w:ascii="Arial" w:eastAsia="Times New Roman" w:hAnsi="Arial" w:cs="Arial"/>
                <w:color w:val="000000"/>
                <w:sz w:val="13"/>
                <w:szCs w:val="13"/>
              </w:rPr>
            </w:pPr>
            <w:r w:rsidRPr="00E41679">
              <w:rPr>
                <w:rFonts w:ascii="Arial" w:eastAsia="Times New Roman" w:hAnsi="Arial" w:cs="Arial"/>
                <w:color w:val="000000"/>
                <w:sz w:val="13"/>
                <w:szCs w:val="13"/>
              </w:rPr>
              <w:t>57 (18%)</w:t>
            </w:r>
          </w:p>
        </w:tc>
        <w:tc>
          <w:tcPr>
            <w:tcW w:w="916" w:type="dxa"/>
            <w:tcBorders>
              <w:top w:val="nil"/>
              <w:left w:val="single" w:sz="4" w:space="0" w:color="auto"/>
              <w:bottom w:val="single" w:sz="4" w:space="0" w:color="auto"/>
              <w:right w:val="single" w:sz="4" w:space="0" w:color="auto"/>
            </w:tcBorders>
            <w:shd w:val="clear" w:color="auto" w:fill="auto"/>
            <w:vAlign w:val="center"/>
            <w:hideMark/>
          </w:tcPr>
          <w:p w14:paraId="60320934"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6" w:type="dxa"/>
            <w:tcBorders>
              <w:top w:val="nil"/>
              <w:left w:val="nil"/>
              <w:bottom w:val="single" w:sz="4" w:space="0" w:color="auto"/>
              <w:right w:val="single" w:sz="4" w:space="0" w:color="auto"/>
            </w:tcBorders>
            <w:shd w:val="clear" w:color="auto" w:fill="auto"/>
            <w:vAlign w:val="center"/>
            <w:hideMark/>
          </w:tcPr>
          <w:p w14:paraId="7A97FDA8"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c>
          <w:tcPr>
            <w:tcW w:w="917" w:type="dxa"/>
            <w:tcBorders>
              <w:top w:val="nil"/>
              <w:left w:val="nil"/>
              <w:bottom w:val="single" w:sz="4" w:space="0" w:color="auto"/>
              <w:right w:val="single" w:sz="4" w:space="0" w:color="auto"/>
            </w:tcBorders>
            <w:shd w:val="clear" w:color="auto" w:fill="auto"/>
            <w:vAlign w:val="center"/>
            <w:hideMark/>
          </w:tcPr>
          <w:p w14:paraId="33EB1A35" w14:textId="77777777" w:rsidR="00ED752C" w:rsidRPr="00E41679" w:rsidRDefault="00ED752C" w:rsidP="00A061AF">
            <w:pPr>
              <w:spacing w:after="0" w:line="240" w:lineRule="auto"/>
              <w:jc w:val="center"/>
              <w:rPr>
                <w:rFonts w:ascii="Arial" w:eastAsia="Times New Roman" w:hAnsi="Arial" w:cs="Arial"/>
                <w:color w:val="000000"/>
                <w:sz w:val="13"/>
                <w:szCs w:val="13"/>
              </w:rPr>
            </w:pPr>
          </w:p>
        </w:tc>
      </w:tr>
    </w:tbl>
    <w:p w14:paraId="402B3A30" w14:textId="77777777" w:rsidR="00ED752C" w:rsidRPr="006A7A25" w:rsidRDefault="00ED752C" w:rsidP="00ED752C">
      <w:pPr>
        <w:spacing w:before="240" w:after="0" w:line="480" w:lineRule="auto"/>
        <w:rPr>
          <w:rFonts w:ascii="Arial" w:hAnsi="Arial" w:cs="Arial"/>
        </w:rPr>
      </w:pPr>
      <w:r w:rsidRPr="001639A9">
        <w:rPr>
          <w:rFonts w:ascii="Arial" w:hAnsi="Arial" w:cs="Arial"/>
          <w:b/>
          <w:bCs/>
        </w:rPr>
        <w:t>Supp. Table 1</w:t>
      </w:r>
      <w:r w:rsidRPr="13231772">
        <w:rPr>
          <w:rFonts w:ascii="Arial" w:hAnsi="Arial" w:cs="Arial"/>
        </w:rPr>
        <w:t>. Cohort Demographics.</w:t>
      </w:r>
      <w:r>
        <w:rPr>
          <w:rFonts w:ascii="Arial" w:hAnsi="Arial" w:cs="Arial"/>
        </w:rPr>
        <w:t xml:space="preserve"> ABX = antibiotics. CRP = C-reactive protein.</w:t>
      </w:r>
      <w:r>
        <w:rPr>
          <w:rFonts w:ascii="Arial" w:eastAsia="Arial" w:hAnsi="Arial" w:cs="Arial"/>
          <w:b/>
          <w:bCs/>
        </w:rPr>
        <w:br w:type="page"/>
      </w:r>
    </w:p>
    <w:tbl>
      <w:tblPr>
        <w:tblW w:w="0" w:type="auto"/>
        <w:tblCellMar>
          <w:left w:w="0" w:type="dxa"/>
          <w:right w:w="0" w:type="dxa"/>
        </w:tblCellMar>
        <w:tblLook w:val="04A0" w:firstRow="1" w:lastRow="0" w:firstColumn="1" w:lastColumn="0" w:noHBand="0" w:noVBand="1"/>
      </w:tblPr>
      <w:tblGrid>
        <w:gridCol w:w="2017"/>
        <w:gridCol w:w="811"/>
        <w:gridCol w:w="739"/>
        <w:gridCol w:w="739"/>
        <w:gridCol w:w="811"/>
        <w:gridCol w:w="811"/>
        <w:gridCol w:w="739"/>
      </w:tblGrid>
      <w:tr w:rsidR="00ED752C" w:rsidRPr="0041319F" w14:paraId="4284B346" w14:textId="77777777" w:rsidTr="00A061AF">
        <w:trPr>
          <w:trHeight w:val="144"/>
        </w:trPr>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642585"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lastRenderedPageBreak/>
              <w:t>Antibiotic</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00303C" w14:textId="77777777" w:rsidR="00ED752C"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 xml:space="preserve">Total </w:t>
            </w:r>
          </w:p>
          <w:p w14:paraId="68477497" w14:textId="77777777" w:rsidR="00ED752C" w:rsidRPr="0041319F"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(n=1154)</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50BC5E" w14:textId="77777777" w:rsidR="00ED752C"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 xml:space="preserve">TG1 </w:t>
            </w:r>
          </w:p>
          <w:p w14:paraId="6C57311F" w14:textId="77777777" w:rsidR="00ED752C" w:rsidRPr="0041319F"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(n=232)</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045D55" w14:textId="77777777" w:rsidR="00ED752C"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 xml:space="preserve">TG2 </w:t>
            </w:r>
          </w:p>
          <w:p w14:paraId="0A7D7573" w14:textId="77777777" w:rsidR="00ED752C" w:rsidRPr="0041319F"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(n=265)</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0F8204" w14:textId="77777777" w:rsidR="00ED752C"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 xml:space="preserve">TG3 </w:t>
            </w:r>
          </w:p>
          <w:p w14:paraId="0FFB80A3" w14:textId="77777777" w:rsidR="00ED752C" w:rsidRPr="0041319F"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(n=337)</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82B4FF" w14:textId="77777777" w:rsidR="00ED752C"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 xml:space="preserve">TG4 </w:t>
            </w:r>
          </w:p>
          <w:p w14:paraId="376674ED" w14:textId="77777777" w:rsidR="00ED752C" w:rsidRPr="0041319F"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(n=222)</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0A07D37" w14:textId="77777777" w:rsidR="00ED752C"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 xml:space="preserve">TG5 </w:t>
            </w:r>
          </w:p>
          <w:p w14:paraId="57F08E01" w14:textId="77777777" w:rsidR="00ED752C" w:rsidRPr="0041319F" w:rsidRDefault="00ED752C" w:rsidP="00A061AF">
            <w:pPr>
              <w:spacing w:after="0" w:line="240" w:lineRule="auto"/>
              <w:jc w:val="center"/>
              <w:rPr>
                <w:rFonts w:ascii="Arial" w:hAnsi="Arial" w:cs="Arial"/>
                <w:b/>
                <w:bCs/>
                <w:color w:val="000000"/>
                <w:sz w:val="13"/>
                <w:szCs w:val="13"/>
              </w:rPr>
            </w:pPr>
            <w:r w:rsidRPr="0041319F">
              <w:rPr>
                <w:rFonts w:ascii="Arial" w:hAnsi="Arial" w:cs="Arial"/>
                <w:b/>
                <w:bCs/>
                <w:color w:val="000000"/>
                <w:sz w:val="13"/>
                <w:szCs w:val="13"/>
              </w:rPr>
              <w:t>(n=108)</w:t>
            </w:r>
          </w:p>
        </w:tc>
      </w:tr>
      <w:tr w:rsidR="00ED752C" w:rsidRPr="0041319F" w14:paraId="5B6FA7AA"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DE6862"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Amikacin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A575D4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0.09%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4A2595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4B2632"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50504B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937F7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18D793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r>
      <w:tr w:rsidR="00ED752C" w:rsidRPr="0041319F" w14:paraId="3522B5B8"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8014A0"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Ampicillin-Sulbactam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DA41F3B"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0.86% (10)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4F03D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E53D84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0.75%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9CEEF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88450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2.7% (6)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CD32C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0.93% (1)</w:t>
            </w:r>
          </w:p>
        </w:tc>
      </w:tr>
      <w:tr w:rsidR="00ED752C" w:rsidRPr="0041319F" w14:paraId="6FAA9465"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FA2261E"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Ampicillin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A9D114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2.06% (24)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ADD751"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2.16% (5)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2A338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0.38%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080B4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0.89%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A65E7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5.86% (13)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82DED0"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1.85% (2)</w:t>
            </w:r>
          </w:p>
        </w:tc>
      </w:tr>
      <w:tr w:rsidR="00ED752C" w:rsidRPr="0041319F" w14:paraId="4B7A87BC"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0BE7CA"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Azithromycin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C82F6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29.81% (347)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CEBE4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20.69% (48)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67B24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29.06% (77)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A2EC55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28.19% (95)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54ED3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40.54% (90)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1C948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34.26% (37)</w:t>
            </w:r>
          </w:p>
        </w:tc>
      </w:tr>
      <w:tr w:rsidR="00ED752C" w:rsidRPr="0041319F" w14:paraId="3564C1B4"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B613D6"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Aztreonam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23B8B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F72BC6B"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FB3309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0.38%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5BC18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31D675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A1226BB"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0.93% (1)</w:t>
            </w:r>
          </w:p>
        </w:tc>
      </w:tr>
      <w:tr w:rsidR="00ED752C" w:rsidRPr="0041319F" w14:paraId="7856C77B"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567F433"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Cefazolin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103241"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2.23% (26)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864A67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1.29%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537F5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0.75%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4A2C7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1.19% (4)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98999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4.95% (11)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49E15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5.56% (6)</w:t>
            </w:r>
          </w:p>
        </w:tc>
      </w:tr>
      <w:tr w:rsidR="00ED752C" w:rsidRPr="0041319F" w14:paraId="59AC48F1"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42FA3B5"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Cefepime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A8317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12.71% (148)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7F875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3.02% (7)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77E2E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5.28% (14)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48B101"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4.45% (15)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BB3B3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31.08% (69)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DBB49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39.81% (43)</w:t>
            </w:r>
          </w:p>
        </w:tc>
      </w:tr>
      <w:tr w:rsidR="00ED752C" w:rsidRPr="0041319F" w14:paraId="15232D06"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1772D07"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Cefpodoxime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407397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4344E7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1.29%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B3FD7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50F48A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0.59%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62C54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37C8E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r>
      <w:tr w:rsidR="00ED752C" w:rsidRPr="0041319F" w14:paraId="74654AAF"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182F043"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Ceftazidime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747ECD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1.72% (20)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D55DE4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3D3DE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0.38%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7C522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668ABD0"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4.5% (10)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9417E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7.41% (8)</w:t>
            </w:r>
          </w:p>
        </w:tc>
      </w:tr>
      <w:tr w:rsidR="00ED752C" w:rsidRPr="0041319F" w14:paraId="3AEBA2CB"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EF1900"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Ceftriaxone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9F17E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36.77% (428)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64B8F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30.6% (71)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195AA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35.09% (93)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7B6F6C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31.16% (105)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12723A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49.55% (110)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58F062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45.37% (49)</w:t>
            </w:r>
          </w:p>
        </w:tc>
      </w:tr>
      <w:tr w:rsidR="00ED752C" w:rsidRPr="0041319F" w14:paraId="698A1C6D"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D1080E"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Cefuroxime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2EF7C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0.26%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6E435F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F7A9F0"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3F283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0.89%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F7940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0F6077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r>
      <w:tr w:rsidR="00ED752C" w:rsidRPr="0041319F" w14:paraId="05A9CAE0"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2716F84"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Ciprofloxacin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4D006B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1.03% (12)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9DE2A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30D3AD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0.38%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D984FC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1.19% (4)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3A870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2.25% (5)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5ACE51"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0.93% (1)</w:t>
            </w:r>
          </w:p>
        </w:tc>
      </w:tr>
      <w:tr w:rsidR="00ED752C" w:rsidRPr="0041319F" w14:paraId="5165E00A"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DD8B7DC"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Clindamycin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E124D82"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0.17%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34653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81BEBE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235358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0.59%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52B87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7B407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r>
      <w:tr w:rsidR="00ED752C" w:rsidRPr="0041319F" w14:paraId="2288046F"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50B74C"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Daptomycin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94CC61"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0.26%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71830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FBD4D1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C4303C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F4F1B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CEAB0A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0.93% (1)</w:t>
            </w:r>
          </w:p>
        </w:tc>
      </w:tr>
      <w:tr w:rsidR="00ED752C" w:rsidRPr="0041319F" w14:paraId="6C0EA826"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1EE346"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Doxycycline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01E32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7.13% (83)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E74FAA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6.9% (16)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C0D98B"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9.06% (24)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66938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5.34% (18)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362FF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8.11% (18)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DB81C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6.48% (7)</w:t>
            </w:r>
          </w:p>
        </w:tc>
      </w:tr>
      <w:tr w:rsidR="00ED752C" w:rsidRPr="0041319F" w14:paraId="57F1610B"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55B97C"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Ertapenem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B9914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1.55% (18)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082D3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BB3C3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0.75%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00214C0"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0.89%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AE2CC82"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4.5% (10)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CC915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2.78% (3)</w:t>
            </w:r>
          </w:p>
        </w:tc>
      </w:tr>
      <w:tr w:rsidR="00ED752C" w:rsidRPr="0041319F" w14:paraId="2E1AD947"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24CF0A"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Erythromycin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927AFF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0.34% (4)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97525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3E3D0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8B9021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C91716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2B7BEA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0.93% (1)</w:t>
            </w:r>
          </w:p>
        </w:tc>
      </w:tr>
      <w:tr w:rsidR="00ED752C" w:rsidRPr="0041319F" w14:paraId="7FC0CD25"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0E37E2"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Gentamicin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782B0B1"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0.09%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C15D1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41D9060"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D389C3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FCE1F62"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0.45%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196C2E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r>
      <w:tr w:rsidR="00ED752C" w:rsidRPr="0041319F" w14:paraId="60DD4FC8"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28AF67C"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Levofloxacin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1EB83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2.32% (27)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D8D95D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1.29%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B9D84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0.75%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AB1C12"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2.37% (8)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660B72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4.95% (11)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76034FB"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2.78% (3)</w:t>
            </w:r>
          </w:p>
        </w:tc>
      </w:tr>
      <w:tr w:rsidR="00ED752C" w:rsidRPr="0041319F" w14:paraId="36B56DAD"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4A9A41"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Linezolid</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A0C66F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0.77% (9)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D7B44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2CD73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14A6D9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5B34A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2.25% (5)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002C6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2.78% (3)</w:t>
            </w:r>
          </w:p>
        </w:tc>
      </w:tr>
      <w:tr w:rsidR="00ED752C" w:rsidRPr="0041319F" w14:paraId="7D5B1B24"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93D4708"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Meropenem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EDAFF2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3.87% (45)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27B880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1E875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0.75%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3A74F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1.19% (4)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A6CEB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12.16% (27)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556D9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11.11% (12)</w:t>
            </w:r>
          </w:p>
        </w:tc>
      </w:tr>
      <w:tr w:rsidR="00ED752C" w:rsidRPr="0041319F" w14:paraId="4A80A795"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B2D1EA1"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Metronidazole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CFCC55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3.09% (36)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2BF6C0"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0.86%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A5CA5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1.13%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85033F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1.19% (4)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7E7363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7.66% (17)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17DCDB"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9.26% (10)</w:t>
            </w:r>
          </w:p>
        </w:tc>
      </w:tr>
      <w:tr w:rsidR="00ED752C" w:rsidRPr="0041319F" w14:paraId="300CC3B0"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A9D9CB"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Piperacillin-Tazobactam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15125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9.02% (105)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6D8C6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3.02% (7)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7AFAAA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4.91% (13)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9337A3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3.86% (13)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6E4D2B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20.72% (46)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374B9E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24.07% (26)</w:t>
            </w:r>
          </w:p>
        </w:tc>
      </w:tr>
      <w:tr w:rsidR="00ED752C" w:rsidRPr="0041319F" w14:paraId="4CAA0B79"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4BBF892"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Rifampin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A3BFDB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0.09%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A82098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9B3B5D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E54BFD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5186A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0.45%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A7C12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r>
      <w:tr w:rsidR="00ED752C" w:rsidRPr="0041319F" w14:paraId="4DB8A15C"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2870909"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Rifaximin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1725D37"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6EAA4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87081C"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A4F06D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C6D85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1.35%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B66B19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0.93% (1)</w:t>
            </w:r>
          </w:p>
        </w:tc>
      </w:tr>
      <w:tr w:rsidR="00ED752C" w:rsidRPr="0041319F" w14:paraId="502B3610"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F1331A5"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Sulfamethoxazole-Trimethoprim</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E645E02"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1.55% (18)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774F1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0.43% (1)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22E3F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0.75% (2)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8FC801"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1.48% (5)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AF8A953"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3.6% (8)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084C2A0"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1.85% (2)</w:t>
            </w:r>
          </w:p>
        </w:tc>
      </w:tr>
      <w:tr w:rsidR="00ED752C" w:rsidRPr="0041319F" w14:paraId="0B2BDB43"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4C5D7A9"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Tobramycin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4EF2BA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0.34% (4)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66BC8BD"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000F7A5"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029278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 (0)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5DDE419"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1.35% (3)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C845132"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0.93% (1)</w:t>
            </w:r>
          </w:p>
        </w:tc>
      </w:tr>
      <w:tr w:rsidR="00ED752C" w:rsidRPr="0041319F" w14:paraId="42EFDBC0"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C8742A0"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Vancomycin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13D12F"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21.22% (247)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4CE8D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4.74% (11)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48D681B"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11.7% (31)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FDFB224"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10.39% (35)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C2033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45.5% (101)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50243C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63.89% (69)</w:t>
            </w:r>
          </w:p>
        </w:tc>
      </w:tr>
      <w:tr w:rsidR="00ED752C" w:rsidRPr="0041319F" w14:paraId="752FF038" w14:textId="77777777" w:rsidTr="00A061AF">
        <w:trPr>
          <w:trHeight w:val="144"/>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6CE2B25" w14:textId="77777777" w:rsidR="00ED752C" w:rsidRPr="0041319F" w:rsidRDefault="00ED752C" w:rsidP="00A061AF">
            <w:pPr>
              <w:spacing w:after="0" w:line="240" w:lineRule="auto"/>
              <w:rPr>
                <w:rFonts w:ascii="Arial" w:hAnsi="Arial" w:cs="Arial"/>
                <w:b/>
                <w:bCs/>
                <w:color w:val="000000"/>
                <w:sz w:val="13"/>
                <w:szCs w:val="13"/>
              </w:rPr>
            </w:pPr>
            <w:r w:rsidRPr="0041319F">
              <w:rPr>
                <w:rFonts w:ascii="Arial" w:hAnsi="Arial" w:cs="Arial"/>
                <w:b/>
                <w:bCs/>
                <w:color w:val="000000"/>
                <w:sz w:val="13"/>
                <w:szCs w:val="13"/>
              </w:rPr>
              <w:t>Other</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E59EE7A"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3.09% (36)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B1E9576"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1.72% (4)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F58B338"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2.64% (7)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8E06601"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1.78% (6)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B5F52E"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5.86% (13)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8B9DC2" w14:textId="77777777" w:rsidR="00ED752C" w:rsidRPr="0041319F" w:rsidRDefault="00ED752C" w:rsidP="00A061AF">
            <w:pPr>
              <w:spacing w:after="0" w:line="240" w:lineRule="auto"/>
              <w:jc w:val="center"/>
              <w:rPr>
                <w:rFonts w:ascii="Arial" w:hAnsi="Arial" w:cs="Arial"/>
                <w:color w:val="000000"/>
                <w:sz w:val="13"/>
                <w:szCs w:val="13"/>
              </w:rPr>
            </w:pPr>
            <w:r w:rsidRPr="0041319F">
              <w:rPr>
                <w:rFonts w:ascii="Arial" w:hAnsi="Arial" w:cs="Arial"/>
                <w:color w:val="000000"/>
                <w:sz w:val="13"/>
                <w:szCs w:val="13"/>
              </w:rPr>
              <w:t>5.56% (6)</w:t>
            </w:r>
          </w:p>
        </w:tc>
      </w:tr>
    </w:tbl>
    <w:p w14:paraId="4B1F7EE4" w14:textId="77777777" w:rsidR="00ED752C" w:rsidRDefault="00ED752C" w:rsidP="00ED752C">
      <w:pPr>
        <w:rPr>
          <w:rFonts w:ascii="Arial" w:hAnsi="Arial" w:cs="Arial"/>
          <w:b/>
          <w:bCs/>
          <w:u w:val="single"/>
        </w:rPr>
      </w:pPr>
      <w:r>
        <w:rPr>
          <w:rFonts w:ascii="Arial" w:hAnsi="Arial" w:cs="Arial"/>
          <w:b/>
          <w:bCs/>
          <w:u w:val="single"/>
        </w:rPr>
        <w:t xml:space="preserve"> </w:t>
      </w:r>
    </w:p>
    <w:p w14:paraId="1253D60F" w14:textId="77777777" w:rsidR="00ED752C" w:rsidRPr="0041319F" w:rsidRDefault="00ED752C" w:rsidP="00ED752C">
      <w:pPr>
        <w:spacing w:after="0" w:line="480" w:lineRule="auto"/>
        <w:rPr>
          <w:rFonts w:ascii="Arial" w:hAnsi="Arial" w:cs="Arial"/>
        </w:rPr>
      </w:pPr>
      <w:r w:rsidRPr="00B70436">
        <w:rPr>
          <w:rFonts w:ascii="Arial" w:hAnsi="Arial" w:cs="Arial"/>
          <w:b/>
          <w:bCs/>
        </w:rPr>
        <w:t>Supp. Table 2</w:t>
      </w:r>
      <w:r w:rsidRPr="13231772">
        <w:rPr>
          <w:rFonts w:ascii="Arial" w:hAnsi="Arial" w:cs="Arial"/>
        </w:rPr>
        <w:t xml:space="preserve">. Antibiotic usages across </w:t>
      </w:r>
      <w:r>
        <w:rPr>
          <w:rFonts w:ascii="Arial" w:hAnsi="Arial" w:cs="Arial"/>
        </w:rPr>
        <w:t>COVID-19 severity t</w:t>
      </w:r>
      <w:r w:rsidRPr="13231772">
        <w:rPr>
          <w:rFonts w:ascii="Arial" w:hAnsi="Arial" w:cs="Arial"/>
        </w:rPr>
        <w:t xml:space="preserve">rajectory </w:t>
      </w:r>
      <w:r>
        <w:rPr>
          <w:rFonts w:ascii="Arial" w:hAnsi="Arial" w:cs="Arial"/>
        </w:rPr>
        <w:t>g</w:t>
      </w:r>
      <w:r w:rsidRPr="13231772">
        <w:rPr>
          <w:rFonts w:ascii="Arial" w:hAnsi="Arial" w:cs="Arial"/>
        </w:rPr>
        <w:t>roups</w:t>
      </w:r>
      <w:r>
        <w:rPr>
          <w:rFonts w:ascii="Arial" w:hAnsi="Arial" w:cs="Arial"/>
        </w:rPr>
        <w:t xml:space="preserve"> (TGs)</w:t>
      </w:r>
      <w:r w:rsidRPr="13231772">
        <w:rPr>
          <w:rFonts w:ascii="Arial" w:hAnsi="Arial" w:cs="Arial"/>
        </w:rPr>
        <w:t>.</w:t>
      </w:r>
      <w:r>
        <w:rPr>
          <w:rFonts w:ascii="Arial" w:hAnsi="Arial" w:cs="Arial"/>
          <w:b/>
          <w:bCs/>
          <w:u w:val="single"/>
        </w:rPr>
        <w:br w:type="page"/>
      </w:r>
    </w:p>
    <w:p w14:paraId="3547C023" w14:textId="77777777" w:rsidR="00ED752C" w:rsidRPr="00B70436" w:rsidRDefault="00ED752C" w:rsidP="00ED752C">
      <w:pPr>
        <w:spacing w:after="2000" w:line="480" w:lineRule="auto"/>
        <w:rPr>
          <w:rFonts w:ascii="Arial" w:hAnsi="Arial" w:cs="Arial"/>
          <w:b/>
          <w:bCs/>
        </w:rPr>
      </w:pPr>
      <w:r w:rsidRPr="00B70436">
        <w:rPr>
          <w:rFonts w:ascii="Arial" w:hAnsi="Arial" w:cs="Arial"/>
          <w:b/>
          <w:bCs/>
          <w:u w:val="single"/>
        </w:rPr>
        <w:lastRenderedPageBreak/>
        <w:t xml:space="preserve">Supplementary </w:t>
      </w:r>
      <w:r>
        <w:rPr>
          <w:rFonts w:ascii="Arial" w:hAnsi="Arial" w:cs="Arial"/>
          <w:b/>
          <w:bCs/>
          <w:u w:val="single"/>
        </w:rPr>
        <w:t>Figures</w:t>
      </w:r>
    </w:p>
    <w:p w14:paraId="1CA2CB85" w14:textId="77777777" w:rsidR="00ED752C" w:rsidRPr="008226E2" w:rsidRDefault="00ED752C" w:rsidP="00ED752C">
      <w:pPr>
        <w:jc w:val="both"/>
      </w:pPr>
      <w:r>
        <w:rPr>
          <w:rFonts w:ascii="Arial" w:hAnsi="Arial" w:cs="Arial"/>
          <w:noProof/>
          <w:sz w:val="20"/>
          <w:szCs w:val="20"/>
        </w:rPr>
        <w:drawing>
          <wp:inline distT="0" distB="0" distL="0" distR="0" wp14:anchorId="00EE33F4" wp14:editId="4D4BD7DB">
            <wp:extent cx="2557582" cy="2757836"/>
            <wp:effectExtent l="0" t="0" r="0" b="4445"/>
            <wp:docPr id="1722082129" name="Picture 1" descr="A graph of a number of days on days on da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82129" name="Picture 1" descr="A graph of a number of days on days on day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57582" cy="2757836"/>
                    </a:xfrm>
                    <a:prstGeom prst="rect">
                      <a:avLst/>
                    </a:prstGeom>
                  </pic:spPr>
                </pic:pic>
              </a:graphicData>
            </a:graphic>
          </wp:inline>
        </w:drawing>
      </w:r>
      <w:r w:rsidRPr="008226E2">
        <w:rPr>
          <w:rFonts w:ascii="Arial" w:hAnsi="Arial" w:cs="Arial"/>
          <w:sz w:val="20"/>
          <w:szCs w:val="20"/>
        </w:rPr>
        <w:softHyphen/>
      </w:r>
      <w:r w:rsidRPr="008226E2">
        <w:rPr>
          <w:rFonts w:ascii="Arial" w:hAnsi="Arial" w:cs="Arial"/>
          <w:sz w:val="20"/>
          <w:szCs w:val="20"/>
        </w:rPr>
        <w:softHyphen/>
      </w:r>
      <w:r w:rsidRPr="008226E2">
        <w:rPr>
          <w:rFonts w:ascii="Arial" w:hAnsi="Arial" w:cs="Arial"/>
          <w:sz w:val="20"/>
          <w:szCs w:val="20"/>
        </w:rPr>
        <w:softHyphen/>
      </w:r>
    </w:p>
    <w:p w14:paraId="2C6667C3" w14:textId="77777777" w:rsidR="00ED752C" w:rsidRDefault="00ED752C" w:rsidP="00ED752C">
      <w:pPr>
        <w:jc w:val="both"/>
        <w:rPr>
          <w:rFonts w:ascii="Arial" w:hAnsi="Arial" w:cs="Arial"/>
          <w:b/>
          <w:bCs/>
          <w:sz w:val="20"/>
          <w:szCs w:val="20"/>
        </w:rPr>
      </w:pPr>
      <w:r w:rsidRPr="008226E2">
        <w:rPr>
          <w:rFonts w:ascii="Arial" w:hAnsi="Arial" w:cs="Arial"/>
          <w:b/>
          <w:bCs/>
          <w:sz w:val="20"/>
          <w:szCs w:val="20"/>
        </w:rPr>
        <w:t>Supplementary Figure 1</w:t>
      </w:r>
      <w:r>
        <w:rPr>
          <w:rFonts w:ascii="Arial" w:hAnsi="Arial" w:cs="Arial"/>
          <w:b/>
          <w:bCs/>
          <w:sz w:val="20"/>
          <w:szCs w:val="20"/>
        </w:rPr>
        <w:t xml:space="preserve">. </w:t>
      </w:r>
      <w:r w:rsidRPr="00B3108B">
        <w:rPr>
          <w:rFonts w:ascii="Arial" w:hAnsi="Arial" w:cs="Arial"/>
          <w:b/>
          <w:bCs/>
          <w:sz w:val="20"/>
          <w:szCs w:val="20"/>
        </w:rPr>
        <w:t>Days of azithromycin exposure for each participant by COVID-19 severity trajectory group.</w:t>
      </w:r>
      <w:r>
        <w:rPr>
          <w:rFonts w:ascii="Arial" w:hAnsi="Arial" w:cs="Arial"/>
          <w:b/>
          <w:bCs/>
          <w:sz w:val="20"/>
          <w:szCs w:val="20"/>
        </w:rPr>
        <w:br w:type="page"/>
      </w:r>
    </w:p>
    <w:p w14:paraId="6FA77163" w14:textId="77777777" w:rsidR="00ED752C" w:rsidRPr="006A7A25" w:rsidRDefault="00ED752C" w:rsidP="00ED752C">
      <w:pPr>
        <w:jc w:val="both"/>
        <w:rPr>
          <w:rFonts w:ascii="Arial" w:hAnsi="Arial" w:cs="Arial"/>
          <w:b/>
          <w:bCs/>
          <w:sz w:val="20"/>
          <w:szCs w:val="20"/>
        </w:rPr>
      </w:pPr>
    </w:p>
    <w:p w14:paraId="05B5E319" w14:textId="77777777" w:rsidR="00ED752C" w:rsidRPr="008226E2" w:rsidRDefault="00ED752C" w:rsidP="00ED752C">
      <w:pPr>
        <w:jc w:val="both"/>
      </w:pPr>
      <w:r>
        <w:rPr>
          <w:noProof/>
        </w:rPr>
        <w:drawing>
          <wp:inline distT="0" distB="0" distL="0" distR="0" wp14:anchorId="71A4B995" wp14:editId="5297E8FD">
            <wp:extent cx="5943600" cy="1876425"/>
            <wp:effectExtent l="0" t="0" r="0" b="0"/>
            <wp:docPr id="725318385" name="Picture 725318385"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318385" name="Picture 725318385" descr="A diagram of a graph&#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876425"/>
                    </a:xfrm>
                    <a:prstGeom prst="rect">
                      <a:avLst/>
                    </a:prstGeom>
                  </pic:spPr>
                </pic:pic>
              </a:graphicData>
            </a:graphic>
          </wp:inline>
        </w:drawing>
      </w:r>
    </w:p>
    <w:p w14:paraId="2DD5DA93" w14:textId="77777777" w:rsidR="00ED752C" w:rsidRPr="008226E2" w:rsidRDefault="00ED752C" w:rsidP="00ED752C">
      <w:pPr>
        <w:jc w:val="both"/>
        <w:rPr>
          <w:rFonts w:ascii="Arial" w:hAnsi="Arial" w:cs="Arial"/>
          <w:b/>
          <w:sz w:val="20"/>
          <w:szCs w:val="20"/>
        </w:rPr>
      </w:pPr>
    </w:p>
    <w:p w14:paraId="002EFE7E" w14:textId="77777777" w:rsidR="00ED752C" w:rsidRDefault="00ED752C" w:rsidP="00ED752C">
      <w:pPr>
        <w:jc w:val="both"/>
        <w:rPr>
          <w:rFonts w:ascii="Arial" w:hAnsi="Arial" w:cs="Arial"/>
          <w:sz w:val="20"/>
          <w:szCs w:val="20"/>
        </w:rPr>
      </w:pPr>
      <w:r w:rsidRPr="57B79B87">
        <w:rPr>
          <w:rFonts w:ascii="Arial" w:hAnsi="Arial" w:cs="Arial"/>
          <w:b/>
          <w:bCs/>
          <w:sz w:val="20"/>
          <w:szCs w:val="20"/>
        </w:rPr>
        <w:t xml:space="preserve">Supplementary Figure 2.  </w:t>
      </w:r>
      <w:r>
        <w:rPr>
          <w:rFonts w:ascii="Arial" w:hAnsi="Arial" w:cs="Arial"/>
          <w:b/>
          <w:bCs/>
          <w:sz w:val="20"/>
          <w:szCs w:val="20"/>
        </w:rPr>
        <w:t xml:space="preserve">Changes in upper airway bacterial and fungal abundance based on days of azithromycin exposure. </w:t>
      </w:r>
      <w:r w:rsidRPr="006175D1">
        <w:rPr>
          <w:rFonts w:ascii="Arial" w:hAnsi="Arial" w:cs="Arial"/>
          <w:b/>
          <w:bCs/>
          <w:sz w:val="20"/>
          <w:szCs w:val="20"/>
        </w:rPr>
        <w:t>a</w:t>
      </w:r>
      <w:r w:rsidRPr="006175D1">
        <w:rPr>
          <w:rFonts w:ascii="Arial" w:hAnsi="Arial" w:cs="Arial"/>
          <w:sz w:val="20"/>
          <w:szCs w:val="20"/>
        </w:rPr>
        <w:t xml:space="preserve"> Generalized additive mixed model </w:t>
      </w:r>
      <w:r>
        <w:rPr>
          <w:rFonts w:ascii="Arial" w:hAnsi="Arial" w:cs="Arial"/>
          <w:sz w:val="20"/>
          <w:szCs w:val="20"/>
        </w:rPr>
        <w:t xml:space="preserve">(GAMM) </w:t>
      </w:r>
      <w:r w:rsidRPr="006175D1">
        <w:rPr>
          <w:rFonts w:ascii="Arial" w:hAnsi="Arial" w:cs="Arial"/>
          <w:sz w:val="20"/>
          <w:szCs w:val="20"/>
        </w:rPr>
        <w:t xml:space="preserve">of total </w:t>
      </w:r>
      <w:r>
        <w:rPr>
          <w:rFonts w:ascii="Arial" w:hAnsi="Arial" w:cs="Arial"/>
          <w:sz w:val="20"/>
          <w:szCs w:val="20"/>
        </w:rPr>
        <w:t xml:space="preserve">bacterial </w:t>
      </w:r>
      <w:r w:rsidRPr="006175D1">
        <w:rPr>
          <w:rFonts w:ascii="Arial" w:hAnsi="Arial" w:cs="Arial"/>
          <w:sz w:val="20"/>
          <w:szCs w:val="20"/>
        </w:rPr>
        <w:t xml:space="preserve">reads per million (RPM) in nasal swab samples by days of azithromycin usage. </w:t>
      </w:r>
      <w:r>
        <w:rPr>
          <w:rFonts w:ascii="Arial" w:hAnsi="Arial" w:cs="Arial"/>
          <w:b/>
          <w:bCs/>
          <w:sz w:val="20"/>
          <w:szCs w:val="20"/>
        </w:rPr>
        <w:t>b</w:t>
      </w:r>
      <w:r w:rsidRPr="006175D1">
        <w:rPr>
          <w:rFonts w:ascii="Arial" w:hAnsi="Arial" w:cs="Arial"/>
          <w:sz w:val="20"/>
          <w:szCs w:val="20"/>
        </w:rPr>
        <w:t xml:space="preserve"> </w:t>
      </w:r>
      <w:r>
        <w:rPr>
          <w:rFonts w:ascii="Arial" w:hAnsi="Arial" w:cs="Arial"/>
          <w:sz w:val="20"/>
          <w:szCs w:val="20"/>
        </w:rPr>
        <w:t>Total</w:t>
      </w:r>
      <w:r w:rsidRPr="006175D1">
        <w:rPr>
          <w:rFonts w:ascii="Arial" w:hAnsi="Arial" w:cs="Arial"/>
          <w:sz w:val="20"/>
          <w:szCs w:val="20"/>
        </w:rPr>
        <w:t xml:space="preserve"> </w:t>
      </w:r>
      <w:r>
        <w:rPr>
          <w:rFonts w:ascii="Arial" w:hAnsi="Arial" w:cs="Arial"/>
          <w:sz w:val="20"/>
          <w:szCs w:val="20"/>
        </w:rPr>
        <w:t xml:space="preserve">fungal RPM </w:t>
      </w:r>
      <w:r w:rsidRPr="006175D1">
        <w:rPr>
          <w:rFonts w:ascii="Arial" w:hAnsi="Arial" w:cs="Arial"/>
          <w:sz w:val="20"/>
          <w:szCs w:val="20"/>
        </w:rPr>
        <w:t xml:space="preserve">in nasal swab samples by days of azithromycin usage. </w:t>
      </w:r>
      <w:r w:rsidRPr="57B79B87">
        <w:rPr>
          <w:rFonts w:ascii="Arial" w:hAnsi="Arial" w:cs="Arial"/>
          <w:sz w:val="20"/>
          <w:szCs w:val="20"/>
        </w:rPr>
        <w:br w:type="page"/>
      </w:r>
    </w:p>
    <w:p w14:paraId="25E5C705" w14:textId="77777777" w:rsidR="00ED752C" w:rsidRPr="006A7A25" w:rsidRDefault="00ED752C" w:rsidP="00ED752C">
      <w:pPr>
        <w:jc w:val="both"/>
        <w:rPr>
          <w:rFonts w:ascii="Arial" w:hAnsi="Arial" w:cs="Arial"/>
          <w:sz w:val="20"/>
          <w:szCs w:val="20"/>
        </w:rPr>
      </w:pPr>
    </w:p>
    <w:p w14:paraId="7B10DAD7" w14:textId="77777777" w:rsidR="00ED752C" w:rsidRPr="008226E2" w:rsidRDefault="00ED752C" w:rsidP="00ED752C">
      <w:pPr>
        <w:jc w:val="both"/>
        <w:rPr>
          <w:rFonts w:ascii="Arial" w:hAnsi="Arial" w:cs="Arial"/>
          <w:b/>
          <w:sz w:val="20"/>
          <w:szCs w:val="20"/>
        </w:rPr>
      </w:pPr>
    </w:p>
    <w:p w14:paraId="50A85208" w14:textId="77777777" w:rsidR="00ED752C" w:rsidRPr="008226E2" w:rsidRDefault="00ED752C" w:rsidP="00ED752C">
      <w:pPr>
        <w:jc w:val="both"/>
      </w:pPr>
      <w:r>
        <w:rPr>
          <w:noProof/>
        </w:rPr>
        <w:drawing>
          <wp:inline distT="0" distB="0" distL="0" distR="0" wp14:anchorId="1376B1DF" wp14:editId="4B928231">
            <wp:extent cx="3672238" cy="2757836"/>
            <wp:effectExtent l="0" t="0" r="4445" b="4445"/>
            <wp:docPr id="1816908965" name="Picture 6" descr="A graph of number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908965" name="Picture 6" descr="A graph of numbers and graph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72238" cy="2757836"/>
                    </a:xfrm>
                    <a:prstGeom prst="rect">
                      <a:avLst/>
                    </a:prstGeom>
                  </pic:spPr>
                </pic:pic>
              </a:graphicData>
            </a:graphic>
          </wp:inline>
        </w:drawing>
      </w:r>
    </w:p>
    <w:p w14:paraId="645FD458" w14:textId="77777777" w:rsidR="00ED752C" w:rsidRDefault="00ED752C" w:rsidP="00ED752C">
      <w:pPr>
        <w:jc w:val="both"/>
        <w:rPr>
          <w:rFonts w:ascii="Arial" w:hAnsi="Arial" w:cs="Arial"/>
          <w:b/>
          <w:bCs/>
          <w:sz w:val="20"/>
          <w:szCs w:val="20"/>
        </w:rPr>
      </w:pPr>
      <w:r w:rsidRPr="58997170">
        <w:rPr>
          <w:rFonts w:ascii="Arial" w:hAnsi="Arial" w:cs="Arial"/>
          <w:b/>
          <w:bCs/>
          <w:sz w:val="20"/>
          <w:szCs w:val="20"/>
        </w:rPr>
        <w:t xml:space="preserve">Supplementary Figure 3. </w:t>
      </w:r>
      <w:r w:rsidRPr="006175D1">
        <w:rPr>
          <w:rFonts w:ascii="Arial" w:hAnsi="Arial" w:cs="Arial"/>
          <w:b/>
          <w:bCs/>
          <w:sz w:val="20"/>
          <w:szCs w:val="20"/>
        </w:rPr>
        <w:t>SARS-CoV-2 abundance (reads per million, RPM) does not differ based on azithromycin exposure.</w:t>
      </w:r>
      <w:r w:rsidRPr="58997170">
        <w:rPr>
          <w:rFonts w:ascii="Arial" w:hAnsi="Arial" w:cs="Arial"/>
          <w:b/>
          <w:bCs/>
          <w:sz w:val="20"/>
          <w:szCs w:val="20"/>
        </w:rPr>
        <w:br w:type="page"/>
      </w:r>
    </w:p>
    <w:p w14:paraId="4B623332" w14:textId="77777777" w:rsidR="00ED752C" w:rsidRPr="008226E2" w:rsidRDefault="00ED752C" w:rsidP="00ED752C">
      <w:pPr>
        <w:jc w:val="both"/>
      </w:pPr>
    </w:p>
    <w:p w14:paraId="1152EF57" w14:textId="77777777" w:rsidR="00ED752C" w:rsidRPr="008226E2" w:rsidRDefault="00ED752C" w:rsidP="00ED752C">
      <w:pPr>
        <w:jc w:val="both"/>
        <w:rPr>
          <w:rFonts w:ascii="Arial" w:hAnsi="Arial" w:cs="Arial"/>
          <w:b/>
          <w:bCs/>
          <w:sz w:val="20"/>
          <w:szCs w:val="20"/>
        </w:rPr>
      </w:pPr>
      <w:r>
        <w:rPr>
          <w:noProof/>
        </w:rPr>
        <w:drawing>
          <wp:inline distT="0" distB="0" distL="0" distR="0" wp14:anchorId="4E9964E5" wp14:editId="6DC08FE3">
            <wp:extent cx="2843790" cy="2071120"/>
            <wp:effectExtent l="0" t="0" r="0" b="0"/>
            <wp:docPr id="1768184715" name="Picture 1768184715"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43790" cy="2071120"/>
                    </a:xfrm>
                    <a:prstGeom prst="rect">
                      <a:avLst/>
                    </a:prstGeom>
                  </pic:spPr>
                </pic:pic>
              </a:graphicData>
            </a:graphic>
          </wp:inline>
        </w:drawing>
      </w:r>
    </w:p>
    <w:p w14:paraId="35B49ED8" w14:textId="77777777" w:rsidR="00ED752C" w:rsidRPr="006175D1" w:rsidRDefault="00ED752C" w:rsidP="00ED752C">
      <w:pPr>
        <w:jc w:val="both"/>
        <w:rPr>
          <w:rFonts w:ascii="Arial" w:hAnsi="Arial" w:cs="Arial"/>
          <w:sz w:val="20"/>
          <w:szCs w:val="20"/>
        </w:rPr>
      </w:pPr>
      <w:r w:rsidRPr="2AFB96D3">
        <w:rPr>
          <w:rFonts w:ascii="Arial" w:hAnsi="Arial" w:cs="Arial"/>
          <w:b/>
          <w:bCs/>
          <w:sz w:val="20"/>
          <w:szCs w:val="20"/>
        </w:rPr>
        <w:t xml:space="preserve">Supplementary Figure 4.  Percent of resistome attributed to the MLS ARG class shows no significant decrease after cessation of </w:t>
      </w:r>
      <w:r>
        <w:rPr>
          <w:rFonts w:ascii="Arial" w:hAnsi="Arial" w:cs="Arial"/>
          <w:b/>
          <w:bCs/>
          <w:sz w:val="20"/>
          <w:szCs w:val="20"/>
        </w:rPr>
        <w:t>a</w:t>
      </w:r>
      <w:r w:rsidRPr="2AFB96D3">
        <w:rPr>
          <w:rFonts w:ascii="Arial" w:hAnsi="Arial" w:cs="Arial"/>
          <w:b/>
          <w:bCs/>
          <w:sz w:val="20"/>
          <w:szCs w:val="20"/>
        </w:rPr>
        <w:t xml:space="preserve">zithromycin. </w:t>
      </w:r>
      <w:r w:rsidRPr="2AFB96D3">
        <w:rPr>
          <w:rFonts w:ascii="Arial" w:hAnsi="Arial" w:cs="Arial"/>
          <w:sz w:val="20"/>
          <w:szCs w:val="20"/>
        </w:rPr>
        <w:t xml:space="preserve"> P values shown are the result of </w:t>
      </w:r>
      <w:r w:rsidRPr="006175D1">
        <w:rPr>
          <w:rFonts w:ascii="Arial" w:hAnsi="Arial" w:cs="Arial"/>
          <w:sz w:val="20"/>
          <w:szCs w:val="20"/>
        </w:rPr>
        <w:t xml:space="preserve">a linear mixed-effects model. Boxplots display the median, first and third quartile, and range.  Data points are randomly jittered along the x-axis for visual clarity. </w:t>
      </w:r>
      <w:r w:rsidRPr="006175D1">
        <w:rPr>
          <w:rFonts w:ascii="Arial" w:eastAsia="Arial" w:hAnsi="Arial" w:cs="Arial"/>
        </w:rPr>
        <w:br w:type="page"/>
      </w:r>
    </w:p>
    <w:p w14:paraId="6D3E8DD2" w14:textId="77777777" w:rsidR="00ED752C" w:rsidRPr="00D30703" w:rsidRDefault="00ED752C" w:rsidP="00ED752C">
      <w:pPr>
        <w:spacing w:after="0" w:line="257" w:lineRule="auto"/>
      </w:pPr>
      <w:r w:rsidRPr="13231772">
        <w:rPr>
          <w:rFonts w:ascii="Arial" w:eastAsia="Arial" w:hAnsi="Arial" w:cs="Arial"/>
          <w:b/>
          <w:bCs/>
        </w:rPr>
        <w:lastRenderedPageBreak/>
        <w:t># The IMPACC Network</w:t>
      </w:r>
    </w:p>
    <w:p w14:paraId="13D3AAD3" w14:textId="77777777" w:rsidR="00ED752C" w:rsidRPr="00D30703" w:rsidRDefault="00ED752C" w:rsidP="00ED752C">
      <w:pPr>
        <w:spacing w:after="0" w:line="257" w:lineRule="auto"/>
      </w:pPr>
      <w:r w:rsidRPr="13231772">
        <w:rPr>
          <w:rFonts w:ascii="Arial" w:eastAsia="Arial" w:hAnsi="Arial" w:cs="Arial"/>
          <w:b/>
          <w:bCs/>
        </w:rPr>
        <w:t>National Institute of Allergy and Infectious Diseases, National Institute of Health, Bethesda, MD 20814, USA:</w:t>
      </w:r>
      <w:r w:rsidRPr="13231772">
        <w:rPr>
          <w:rFonts w:ascii="Arial" w:eastAsia="Arial" w:hAnsi="Arial" w:cs="Arial"/>
        </w:rPr>
        <w:t xml:space="preserve"> Patrice M. Becker, Alison D. Augustine, Steven M. Holland, Lindsey B. Rosen, Serena Lee, Tatyana Vaysman</w:t>
      </w:r>
    </w:p>
    <w:p w14:paraId="3A4D2C1B" w14:textId="77777777" w:rsidR="00ED752C" w:rsidRPr="00D30703" w:rsidRDefault="00ED752C" w:rsidP="00ED752C">
      <w:pPr>
        <w:spacing w:after="0" w:line="257" w:lineRule="auto"/>
      </w:pPr>
      <w:r w:rsidRPr="13231772">
        <w:rPr>
          <w:rFonts w:ascii="Arial" w:eastAsia="Arial" w:hAnsi="Arial" w:cs="Arial"/>
          <w:b/>
          <w:bCs/>
        </w:rPr>
        <w:t>Clinical and Data Coordinating Center (CDCC) Precision Vaccines Program, Boston Children’s Hospital, Boston, MA 02115, USA:</w:t>
      </w:r>
      <w:r w:rsidRPr="13231772">
        <w:rPr>
          <w:rFonts w:ascii="Arial" w:eastAsia="Arial" w:hAnsi="Arial" w:cs="Arial"/>
        </w:rPr>
        <w:t xml:space="preserve"> Al Ozonoff, Joann Diray-Arce, Jing Chen, Alvin Kho, Carly E. Milliren, Annmarie Hoch, Ana C. Chang, Kerry McEnaney, Brenda Barton, Claudia Lentucci, Maimouna D. Murphy, Mehmet Saluvan, Tanzia Shaheen, Shanshan Liu, Caitlin Syphurs, Marisa Albert, Arash Nemati Hayati, Robert Bryant, James Abraham, Sanya Thomas, Mitchell Cooney, Meagan Karoly </w:t>
      </w:r>
    </w:p>
    <w:p w14:paraId="3DA1DE47" w14:textId="77777777" w:rsidR="00ED752C" w:rsidRPr="00D30703" w:rsidRDefault="00ED752C" w:rsidP="00ED752C">
      <w:pPr>
        <w:spacing w:after="0" w:line="257" w:lineRule="auto"/>
      </w:pPr>
      <w:r w:rsidRPr="13231772">
        <w:rPr>
          <w:rFonts w:ascii="Arial" w:eastAsia="Arial" w:hAnsi="Arial" w:cs="Arial"/>
          <w:b/>
          <w:bCs/>
        </w:rPr>
        <w:t>Benaroya Research Institute, University of Washington, Seattle, WA 98101, USA:</w:t>
      </w:r>
      <w:r w:rsidRPr="13231772">
        <w:rPr>
          <w:rFonts w:ascii="Arial" w:eastAsia="Arial" w:hAnsi="Arial" w:cs="Arial"/>
        </w:rPr>
        <w:t xml:space="preserve"> Matthew C. Altman, Naresh Doni Jayavelu, Scott Presnell, Bernard Kohr, Tomasz Jancsyk, Azlann Arnett </w:t>
      </w:r>
    </w:p>
    <w:p w14:paraId="05D914CD" w14:textId="77777777" w:rsidR="00ED752C" w:rsidRPr="00D30703" w:rsidRDefault="00ED752C" w:rsidP="00ED752C">
      <w:pPr>
        <w:spacing w:after="0" w:line="257" w:lineRule="auto"/>
      </w:pPr>
      <w:r w:rsidRPr="13231772">
        <w:rPr>
          <w:rFonts w:ascii="Arial" w:eastAsia="Arial" w:hAnsi="Arial" w:cs="Arial"/>
          <w:b/>
          <w:bCs/>
        </w:rPr>
        <w:t>La Jolla Institute for Immunology, La Jolla, CA 92037, USA:</w:t>
      </w:r>
      <w:r w:rsidRPr="13231772">
        <w:rPr>
          <w:rFonts w:ascii="Arial" w:eastAsia="Arial" w:hAnsi="Arial" w:cs="Arial"/>
        </w:rPr>
        <w:t xml:space="preserve"> Bjoern Peters, James A. Overton, Randi Vita, Kerstin Westendorf </w:t>
      </w:r>
    </w:p>
    <w:p w14:paraId="73FFA921" w14:textId="77777777" w:rsidR="00ED752C" w:rsidRPr="00D30703" w:rsidRDefault="00ED752C" w:rsidP="00ED752C">
      <w:pPr>
        <w:spacing w:after="0" w:line="257" w:lineRule="auto"/>
      </w:pPr>
      <w:r w:rsidRPr="13231772">
        <w:rPr>
          <w:rFonts w:ascii="Arial" w:eastAsia="Arial" w:hAnsi="Arial" w:cs="Arial"/>
          <w:b/>
          <w:bCs/>
        </w:rPr>
        <w:t>Knocean Inc. Toronto, ON M6P 2T3, Canada:</w:t>
      </w:r>
      <w:r w:rsidRPr="13231772">
        <w:rPr>
          <w:rFonts w:ascii="Arial" w:eastAsia="Arial" w:hAnsi="Arial" w:cs="Arial"/>
        </w:rPr>
        <w:t xml:space="preserve"> James A. Overton </w:t>
      </w:r>
    </w:p>
    <w:p w14:paraId="32083AB8" w14:textId="77777777" w:rsidR="00ED752C" w:rsidRPr="00D30703" w:rsidRDefault="00ED752C" w:rsidP="00ED752C">
      <w:pPr>
        <w:spacing w:after="0" w:line="257" w:lineRule="auto"/>
      </w:pPr>
      <w:r w:rsidRPr="13231772">
        <w:rPr>
          <w:rFonts w:ascii="Arial" w:eastAsia="Arial" w:hAnsi="Arial" w:cs="Arial"/>
          <w:b/>
          <w:bCs/>
        </w:rPr>
        <w:t>Precision Vaccines Program, Boston Children’s Hospital, Harvard Medical School, Boston, MA 02115, USA:</w:t>
      </w:r>
      <w:r w:rsidRPr="13231772">
        <w:rPr>
          <w:rFonts w:ascii="Arial" w:eastAsia="Arial" w:hAnsi="Arial" w:cs="Arial"/>
        </w:rPr>
        <w:t xml:space="preserve"> Ofer Levy, Hanno Steen, Patrick van Zalm, Benoit Fatou, Kinga K. Smolen, Arthur Viode, Simon van Haren, Meenakshi Jha, David Stevenson, Oludare Odumade </w:t>
      </w:r>
    </w:p>
    <w:p w14:paraId="00C175B2" w14:textId="77777777" w:rsidR="00ED752C" w:rsidRPr="00D30703" w:rsidRDefault="00ED752C" w:rsidP="00ED752C">
      <w:pPr>
        <w:spacing w:after="0" w:line="257" w:lineRule="auto"/>
      </w:pPr>
      <w:r w:rsidRPr="13231772">
        <w:rPr>
          <w:rFonts w:ascii="Arial" w:eastAsia="Arial" w:hAnsi="Arial" w:cs="Arial"/>
          <w:b/>
          <w:bCs/>
        </w:rPr>
        <w:t xml:space="preserve">Brigham and Women’s Hospital, Harvard Medical School, Boston, MA 02115, USA: </w:t>
      </w:r>
      <w:r w:rsidRPr="13231772">
        <w:rPr>
          <w:rFonts w:ascii="Arial" w:eastAsia="Arial" w:hAnsi="Arial" w:cs="Arial"/>
        </w:rPr>
        <w:t xml:space="preserve">Lindsey R. Baden, Kevin Mendez, Jessica Lasky-Su, Alexandra Tong, Rebecca Rooks, Michael Desjardins, Amy C. Sherman, Stephen R. Walsh, Xhoi Mitre, Jessica Cauley, Xiofang Li, Bethany Evans, Christina Montesano, Jose Humberto Licona, Jonathan Krauss, Nicholas C. Issa, Jun Bai Park Chang, Natalie Izaguirre </w:t>
      </w:r>
    </w:p>
    <w:p w14:paraId="18CCE0C5" w14:textId="77777777" w:rsidR="00ED752C" w:rsidRPr="00D30703" w:rsidRDefault="00ED752C" w:rsidP="00ED752C">
      <w:pPr>
        <w:spacing w:after="0" w:line="257" w:lineRule="auto"/>
      </w:pPr>
      <w:r w:rsidRPr="3B262B3B">
        <w:rPr>
          <w:rFonts w:ascii="Arial" w:eastAsia="Arial" w:hAnsi="Arial" w:cs="Arial"/>
          <w:b/>
          <w:bCs/>
          <w:lang w:val="it-IT"/>
        </w:rPr>
        <w:t>Metabolon Inc, Morrisville, NC 27560, USA:</w:t>
      </w:r>
      <w:r w:rsidRPr="3B262B3B">
        <w:rPr>
          <w:rFonts w:ascii="Arial" w:eastAsia="Arial" w:hAnsi="Arial" w:cs="Arial"/>
          <w:lang w:val="it-IT"/>
        </w:rPr>
        <w:t xml:space="preserve"> Scott R. Hutton, Greg Michelotti, Kari Wong </w:t>
      </w:r>
    </w:p>
    <w:p w14:paraId="06D79467" w14:textId="77777777" w:rsidR="00ED752C" w:rsidRPr="00D30703" w:rsidRDefault="00ED752C" w:rsidP="00ED752C">
      <w:pPr>
        <w:spacing w:after="0" w:line="257" w:lineRule="auto"/>
      </w:pPr>
      <w:r w:rsidRPr="13231772">
        <w:rPr>
          <w:rFonts w:ascii="Arial" w:eastAsia="Arial" w:hAnsi="Arial" w:cs="Arial"/>
          <w:b/>
          <w:bCs/>
        </w:rPr>
        <w:t xml:space="preserve">Prevention of Organ Failure (PROOF) Centre of Excellence, University of British Columbia, Vancouver, BC V6T 1Z3, Canada: </w:t>
      </w:r>
      <w:r w:rsidRPr="13231772">
        <w:rPr>
          <w:rFonts w:ascii="Arial" w:eastAsia="Arial" w:hAnsi="Arial" w:cs="Arial"/>
        </w:rPr>
        <w:t xml:space="preserve">Scott J. Tebbutt, Casey P. Shannon </w:t>
      </w:r>
    </w:p>
    <w:p w14:paraId="1764E031" w14:textId="77777777" w:rsidR="00ED752C" w:rsidRPr="00D30703" w:rsidRDefault="00ED752C" w:rsidP="00ED752C">
      <w:pPr>
        <w:spacing w:after="0" w:line="257" w:lineRule="auto"/>
      </w:pPr>
      <w:r w:rsidRPr="13231772">
        <w:rPr>
          <w:rFonts w:ascii="Arial" w:eastAsia="Arial" w:hAnsi="Arial" w:cs="Arial"/>
          <w:b/>
          <w:bCs/>
        </w:rPr>
        <w:t>Case Western Reserve University and University Hospitals of Cleveland, Cleveland, OH 44106, USA:</w:t>
      </w:r>
      <w:r w:rsidRPr="13231772">
        <w:rPr>
          <w:rFonts w:ascii="Arial" w:eastAsia="Arial" w:hAnsi="Arial" w:cs="Arial"/>
        </w:rPr>
        <w:t xml:space="preserve"> Rafick-Pierre Sekaly, Slim Fourati, Grace A. McComsey, Paul Harris, Scott Sieg, Susan Pereira Ribeiro </w:t>
      </w:r>
    </w:p>
    <w:p w14:paraId="13F96C71" w14:textId="77777777" w:rsidR="00ED752C" w:rsidRPr="00D30703" w:rsidRDefault="00ED752C" w:rsidP="00ED752C">
      <w:pPr>
        <w:spacing w:after="0" w:line="257" w:lineRule="auto"/>
      </w:pPr>
      <w:r w:rsidRPr="13231772">
        <w:rPr>
          <w:rFonts w:ascii="Arial" w:eastAsia="Arial" w:hAnsi="Arial" w:cs="Arial"/>
          <w:b/>
          <w:bCs/>
        </w:rPr>
        <w:t>Drexel University, Tower Health Hospital, Philadelphia, PA 19104, USA:</w:t>
      </w:r>
      <w:r w:rsidRPr="13231772">
        <w:rPr>
          <w:rFonts w:ascii="Arial" w:eastAsia="Arial" w:hAnsi="Arial" w:cs="Arial"/>
        </w:rPr>
        <w:t xml:space="preserve"> Charles B. Cairns, Elias K. Haddad, Michele A. Kutzler, Mariana Bernui, Gina Cusimano, Jennifer Connors, Kyra Woloszczuk, David Joyner, Carolyn Edwards, Edward Lee, Edward Lin, Nataliya Melnyk, Debra L. Powell, James N. Kim, I. Michael Goonewardene, Brent Simmons, Cecilia M. Smith, Mark Martens, Brett Croen, Nicholas C. Semenza, Mathew R. Bell, Sara Furukawa, Renee McLin, George P. Tegos, Brandon Rogowski, Nathan Mege, Kristen Ulring, Pam Schearer, Judie Sheidy, Crystal Nagle </w:t>
      </w:r>
    </w:p>
    <w:p w14:paraId="62C1E275" w14:textId="77777777" w:rsidR="00ED752C" w:rsidRPr="00D30703" w:rsidRDefault="00ED752C" w:rsidP="00ED752C">
      <w:pPr>
        <w:spacing w:after="0" w:line="257" w:lineRule="auto"/>
      </w:pPr>
      <w:r w:rsidRPr="13231772">
        <w:rPr>
          <w:rFonts w:ascii="Arial" w:eastAsia="Arial" w:hAnsi="Arial" w:cs="Arial"/>
          <w:b/>
          <w:bCs/>
        </w:rPr>
        <w:t>MyOwnMed Inc., Bethesda, MD 20817, USA:</w:t>
      </w:r>
      <w:r w:rsidRPr="13231772">
        <w:rPr>
          <w:rFonts w:ascii="Arial" w:eastAsia="Arial" w:hAnsi="Arial" w:cs="Arial"/>
        </w:rPr>
        <w:t xml:space="preserve"> Vicki Seyfert-Margolis </w:t>
      </w:r>
    </w:p>
    <w:p w14:paraId="43199BED" w14:textId="77777777" w:rsidR="00ED752C" w:rsidRPr="00D30703" w:rsidRDefault="00ED752C" w:rsidP="00ED752C">
      <w:pPr>
        <w:spacing w:after="0" w:line="257" w:lineRule="auto"/>
      </w:pPr>
      <w:r w:rsidRPr="13231772">
        <w:rPr>
          <w:rFonts w:ascii="Arial" w:eastAsia="Arial" w:hAnsi="Arial" w:cs="Arial"/>
          <w:b/>
          <w:bCs/>
        </w:rPr>
        <w:t>Emory School of Medicine, Atlanta, GA 30322, USA:</w:t>
      </w:r>
      <w:r w:rsidRPr="13231772">
        <w:rPr>
          <w:rFonts w:ascii="Arial" w:eastAsia="Arial" w:hAnsi="Arial" w:cs="Arial"/>
        </w:rPr>
        <w:t xml:space="preserve"> Nadine Rouphael, Steven E. Bosinger, Arun K. Boddapati, Greg K. Tharp, Kathryn L. Pellegrini, Brandi Johnson, Bernadine Panganiban, Christopher Huerta, Evan J. Anderson, Hady Samaha, Jonathan E. Sevransky, Laurel Bristow, Elizabeth Beagle, David Cowan, Sydney Hamilton, Thomas Hodder, Amer Bechnak, Andrew Cheng, Aneesh Mehta, Caroline R. Ciric, Christine Spainhour, Erin Carter, Erin M. Scherer, Jacob Usher, Kieffer Hellmeister, Laila Hussaini, Lauren Hewitt, Nina Mcnair, Susan Pereira Ribeiro, Sonia Wimalasena </w:t>
      </w:r>
    </w:p>
    <w:p w14:paraId="487FA72B" w14:textId="77777777" w:rsidR="00ED752C" w:rsidRPr="00D30703" w:rsidRDefault="00ED752C" w:rsidP="00ED752C">
      <w:pPr>
        <w:spacing w:after="0" w:line="257" w:lineRule="auto"/>
      </w:pPr>
      <w:r w:rsidRPr="13231772">
        <w:rPr>
          <w:rFonts w:ascii="Arial" w:eastAsia="Arial" w:hAnsi="Arial" w:cs="Arial"/>
          <w:b/>
          <w:bCs/>
        </w:rPr>
        <w:t>Icahn School of Medicine at Mount Sinai, New York, NY 10029, USA:</w:t>
      </w:r>
      <w:r w:rsidRPr="13231772">
        <w:rPr>
          <w:rFonts w:ascii="Arial" w:eastAsia="Arial" w:hAnsi="Arial" w:cs="Arial"/>
        </w:rPr>
        <w:t xml:space="preserve"> Ana Fernandez-Sesma, Viviana Simon, Florian Krammer, Harm Van Bakel, Seunghee Kim-Schulze, Ana Silvia Gonzalez Reiche, Jingjing Qi, Brian Lee, Juan Manuel Carreño, Gagandeep Singh, Ariel </w:t>
      </w:r>
      <w:r w:rsidRPr="13231772">
        <w:rPr>
          <w:rFonts w:ascii="Arial" w:eastAsia="Arial" w:hAnsi="Arial" w:cs="Arial"/>
        </w:rPr>
        <w:lastRenderedPageBreak/>
        <w:t xml:space="preserve">Raskin, Johnstone Tcheou, Zain Khalil, Adriana van de Guchte, Keith Farrugia, Zenab Khan, Geoffrey Kelly, Komal Srivastava, Lily Q. Eaker, Maria C. Bermúdez-González, Lubbertus C.F. Mulder, Katherine F. Beach, Miti Saksena, Deena Altman, Erna Kojic, Levy A. Sominsky, Arman Azad, Dominika Bielak, Hisaaki Kawabata, Temima Yellin, Miriam Fried, Leeba Sullivan, Sara Morris, Giulio Kleiner, Daniel Stadlbauer, Jayeeta Dutta, Hui Xie, Manishkumar Patel, Kai Nie </w:t>
      </w:r>
    </w:p>
    <w:p w14:paraId="643CEED1" w14:textId="77777777" w:rsidR="00ED752C" w:rsidRPr="00D30703" w:rsidRDefault="00ED752C" w:rsidP="00ED752C">
      <w:pPr>
        <w:spacing w:after="0" w:line="257" w:lineRule="auto"/>
      </w:pPr>
      <w:r w:rsidRPr="13231772">
        <w:rPr>
          <w:rFonts w:ascii="Arial" w:eastAsia="Arial" w:hAnsi="Arial" w:cs="Arial"/>
          <w:b/>
          <w:bCs/>
        </w:rPr>
        <w:t>Immunai Inc. New York, NY 10016, USA:</w:t>
      </w:r>
      <w:r w:rsidRPr="13231772">
        <w:rPr>
          <w:rFonts w:ascii="Arial" w:eastAsia="Arial" w:hAnsi="Arial" w:cs="Arial"/>
        </w:rPr>
        <w:t xml:space="preserve"> Adeeb Rahman </w:t>
      </w:r>
    </w:p>
    <w:p w14:paraId="10A2ABBC" w14:textId="77777777" w:rsidR="00ED752C" w:rsidRPr="00D30703" w:rsidRDefault="00ED752C" w:rsidP="00ED752C">
      <w:pPr>
        <w:spacing w:after="0" w:line="257" w:lineRule="auto"/>
      </w:pPr>
      <w:r w:rsidRPr="13231772">
        <w:rPr>
          <w:rFonts w:ascii="Arial" w:eastAsia="Arial" w:hAnsi="Arial" w:cs="Arial"/>
          <w:b/>
          <w:bCs/>
        </w:rPr>
        <w:t xml:space="preserve">Oregon Health Sciences University, Portland, OR 97239, USA: </w:t>
      </w:r>
      <w:r w:rsidRPr="13231772">
        <w:rPr>
          <w:rFonts w:ascii="Arial" w:eastAsia="Arial" w:hAnsi="Arial" w:cs="Arial"/>
        </w:rPr>
        <w:t xml:space="preserve">William B. Messer, Catherine L. Hough, Sarah A.R. Siegel, Peter E. Sullivan, Zhengchun Lu, Amanda E. Brunton, Matthew Strand, Zoe L. Lyski, Felicity J. Coulter, Courtney Micheleti </w:t>
      </w:r>
    </w:p>
    <w:p w14:paraId="4BA2FCAD" w14:textId="77777777" w:rsidR="00ED752C" w:rsidRPr="00D30703" w:rsidRDefault="00ED752C" w:rsidP="00ED752C">
      <w:pPr>
        <w:spacing w:after="0" w:line="257" w:lineRule="auto"/>
      </w:pPr>
      <w:r w:rsidRPr="13231772">
        <w:rPr>
          <w:rFonts w:ascii="Arial" w:eastAsia="Arial" w:hAnsi="Arial" w:cs="Arial"/>
          <w:b/>
          <w:bCs/>
        </w:rPr>
        <w:t xml:space="preserve">Stanford University School of Medicine, Palo Alto, CA 94305, USA: </w:t>
      </w:r>
      <w:r w:rsidRPr="13231772">
        <w:rPr>
          <w:rFonts w:ascii="Arial" w:eastAsia="Arial" w:hAnsi="Arial" w:cs="Arial"/>
        </w:rPr>
        <w:t xml:space="preserve">Holden Maecker, Bali Pulendran, Kari C. Nadeau, Yael Rosenberg-Hasson, Michael Leipold, Natalia Sigal, Angela Rogers, Andrea Fernandes, Monali Manohar, Evan Do, Iris Chang, Alexandra S. Lee, Catherine Blish, Henna Naz Din, Jonasel Roque, Linda Geng, Maja Artandi, Mark M. Davis, Neera Ahuja, Samuel S. Yang, Sharon Chinthrajah, Thomas Hagan </w:t>
      </w:r>
    </w:p>
    <w:p w14:paraId="46C44739" w14:textId="77777777" w:rsidR="00ED752C" w:rsidRPr="00D30703" w:rsidRDefault="00ED752C" w:rsidP="00ED752C">
      <w:pPr>
        <w:spacing w:after="0" w:line="257" w:lineRule="auto"/>
      </w:pPr>
      <w:r w:rsidRPr="13231772">
        <w:rPr>
          <w:rFonts w:ascii="Arial" w:eastAsia="Arial" w:hAnsi="Arial" w:cs="Arial"/>
          <w:b/>
          <w:bCs/>
        </w:rPr>
        <w:t>David Geffen School of Medicine at the University of California Los Angeles, Los Angeles CA 90095, USA:</w:t>
      </w:r>
      <w:r w:rsidRPr="13231772">
        <w:rPr>
          <w:rFonts w:ascii="Arial" w:eastAsia="Arial" w:hAnsi="Arial" w:cs="Arial"/>
        </w:rPr>
        <w:t xml:space="preserve"> Elaine F. Reed, Joanna Schaenman, Ramin Salehi-Rad, Adreanne M. Rivera, Harry C. Pickering, Subha Sen, David Elashoff, Dawn C. Ward, Jenny Brook, Estefania Ramires Sanchez, Megan Llamas, Claudia Perdomo, Clara E. Magyar, Jennifer Fulcher </w:t>
      </w:r>
    </w:p>
    <w:p w14:paraId="72ED2F65" w14:textId="77777777" w:rsidR="00ED752C" w:rsidRPr="00D30703" w:rsidRDefault="00ED752C" w:rsidP="00ED752C">
      <w:pPr>
        <w:spacing w:after="0" w:line="257" w:lineRule="auto"/>
      </w:pPr>
      <w:r w:rsidRPr="13231772">
        <w:rPr>
          <w:rFonts w:ascii="Arial" w:eastAsia="Arial" w:hAnsi="Arial" w:cs="Arial"/>
          <w:b/>
          <w:bCs/>
        </w:rPr>
        <w:t>University of California San Francisco, San Francisco, CA 94115, USA:</w:t>
      </w:r>
      <w:r w:rsidRPr="13231772">
        <w:rPr>
          <w:rFonts w:ascii="Arial" w:eastAsia="Arial" w:hAnsi="Arial" w:cs="Arial"/>
        </w:rPr>
        <w:t xml:space="preserve"> David J. Erle, Carolyn S. Calfee, Carolyn M. Hendrickson, Kirsten N. Kangelaris, Viet Nguyen, Deanna Lee, Suzanna Chak, Rajani Ghale, Ana Gonzalez, Alejandra Jauregui, Carolyn Leroux, Luz Torres Altamirano, Ahmad Sadeed Rashid, Andrew Willmore, Prescott G. Woodruff, Matthew F. Krummel, Sidney Carrillo, Alyssa Ward, Charles R. Langelier, Ravi Patel, Michael Wilson, Ravi Dandekar, Bonny Alvarenga, Jayant Rajan, Walter Eckalbar, Andrew W. Schroeder, Gabriela K. Fragiadakis, Alexandra Tsitsiklis, Eran Mick, Yanedth Sanchez Guerrero, Christina Love, Lenka Maliskova, Michael Adkisson, Aleksandra Leligdowicz, Alexander Beagle, Arjun Rao, Austin Sigman, Bushra Samad, Cindy Curiel, Cole Shaw, Gayelan Tietje-Ulrich, Jeff Milush, Jonathan Singer, Joshua J. Vasquez, Kevin Tang, Legna Betancourt, Lekshmi Santhosh, Logan Pierce, Maria Tecero Paz, Michael Matthay, Neeta Thakur, Nicklaus Rodriguez, Nicole Sutter, Norman Jones, Pratik Sinha, Priya Prasad, Raphael Lota, Sadeed Rashid, Saurabh Asthana, Sharvari Bhide, Tasha Lea, Yumiko Abe-Jones </w:t>
      </w:r>
    </w:p>
    <w:p w14:paraId="10401FCB" w14:textId="77777777" w:rsidR="00ED752C" w:rsidRPr="00D30703" w:rsidRDefault="00ED752C" w:rsidP="00ED752C">
      <w:pPr>
        <w:spacing w:after="0" w:line="257" w:lineRule="auto"/>
      </w:pPr>
      <w:r w:rsidRPr="13231772">
        <w:rPr>
          <w:rFonts w:ascii="Arial" w:eastAsia="Arial" w:hAnsi="Arial" w:cs="Arial"/>
          <w:b/>
          <w:bCs/>
        </w:rPr>
        <w:t>Yale School of Medicine, New Haven, CT 06510, USA:</w:t>
      </w:r>
      <w:r w:rsidRPr="13231772">
        <w:rPr>
          <w:rFonts w:ascii="Arial" w:eastAsia="Arial" w:hAnsi="Arial" w:cs="Arial"/>
        </w:rPr>
        <w:t xml:space="preserve"> David A. Hafler, Ruth R. Montgomery, Albert C. Shaw, Steven H. Kleinstein, Jeremy P. Gygi, Shrikant Pawar, Anna Konstorum, Ernie Chen, Chris Cotsapas, Xiaomei Wang, Leqi Xu, Charles Dela Cruz, Akiko Iwasaki, Subhasis Mohanty, Allison Nelson, Yujiao Zhao, Shelli Farhadian, Hiromitsu Asashima, Omkar Chaudhary, Andreas Coppi, John Fournier, M. Catherine Muenker, Allison Nelson, Khadir Raddassi, Michael Rainone, William Ruff, Syim Salahuddin, Wade L. Shulz, Pavithra Vijayakumar, Haowei Wang, Esio Wunder Jr., H. Patrick Young, Albert I. Ko,  </w:t>
      </w:r>
    </w:p>
    <w:p w14:paraId="07106A05" w14:textId="77777777" w:rsidR="00ED752C" w:rsidRPr="00D30703" w:rsidRDefault="00ED752C" w:rsidP="00ED752C">
      <w:pPr>
        <w:spacing w:after="0" w:line="257" w:lineRule="auto"/>
      </w:pPr>
      <w:r w:rsidRPr="13231772">
        <w:rPr>
          <w:rFonts w:ascii="Arial" w:eastAsia="Arial" w:hAnsi="Arial" w:cs="Arial"/>
          <w:b/>
          <w:bCs/>
        </w:rPr>
        <w:t xml:space="preserve">Yale School of Public Health, New Haven, CT 06510, USA: </w:t>
      </w:r>
      <w:r w:rsidRPr="13231772">
        <w:rPr>
          <w:rFonts w:ascii="Arial" w:eastAsia="Arial" w:hAnsi="Arial" w:cs="Arial"/>
        </w:rPr>
        <w:t xml:space="preserve">Denise Esserman, Leying Guan, Anderson Brito, Jessica Rothman, Nathan D. Grubaugh </w:t>
      </w:r>
    </w:p>
    <w:p w14:paraId="1BBFE8EE" w14:textId="77777777" w:rsidR="00ED752C" w:rsidRPr="00D30703" w:rsidRDefault="00ED752C" w:rsidP="00ED752C">
      <w:pPr>
        <w:spacing w:after="0" w:line="257" w:lineRule="auto"/>
      </w:pPr>
      <w:r w:rsidRPr="13231772">
        <w:rPr>
          <w:rFonts w:ascii="Arial" w:eastAsia="Arial" w:hAnsi="Arial" w:cs="Arial"/>
          <w:b/>
          <w:bCs/>
        </w:rPr>
        <w:t xml:space="preserve">Baylor College of Medicine and the Center for Translational Research on Inflammatory Diseases, Houston, TX 77030, USA: </w:t>
      </w:r>
      <w:r w:rsidRPr="13231772">
        <w:rPr>
          <w:rFonts w:ascii="Arial" w:eastAsia="Arial" w:hAnsi="Arial" w:cs="Arial"/>
        </w:rPr>
        <w:t xml:space="preserve">David B. Corry, Farrah Kheradmand, Li-Zhen Song, Ebony Nelson </w:t>
      </w:r>
    </w:p>
    <w:p w14:paraId="2C57C542" w14:textId="77777777" w:rsidR="00ED752C" w:rsidRPr="00D30703" w:rsidRDefault="00ED752C" w:rsidP="00ED752C">
      <w:pPr>
        <w:spacing w:after="0" w:line="257" w:lineRule="auto"/>
      </w:pPr>
      <w:r w:rsidRPr="13231772">
        <w:rPr>
          <w:rFonts w:ascii="Arial" w:eastAsia="Arial" w:hAnsi="Arial" w:cs="Arial"/>
          <w:b/>
          <w:bCs/>
        </w:rPr>
        <w:t>Oklahoma University Health Sciences Center, Oklahoma City, OK 73104, USA:</w:t>
      </w:r>
      <w:r w:rsidRPr="13231772">
        <w:rPr>
          <w:rFonts w:ascii="Arial" w:eastAsia="Arial" w:hAnsi="Arial" w:cs="Arial"/>
        </w:rPr>
        <w:t xml:space="preserve"> Jordan P. Metcalf, Nelson I. Agudelo Higuita, Lauren A. Sinko, J. Leland Booth, Douglas A. Drevets, Brent R. Brown </w:t>
      </w:r>
    </w:p>
    <w:p w14:paraId="3E3743CD" w14:textId="77777777" w:rsidR="00ED752C" w:rsidRPr="00D30703" w:rsidRDefault="00ED752C" w:rsidP="00ED752C">
      <w:pPr>
        <w:spacing w:after="0" w:line="257" w:lineRule="auto"/>
      </w:pPr>
      <w:r w:rsidRPr="13231772">
        <w:rPr>
          <w:rFonts w:ascii="Arial" w:eastAsia="Arial" w:hAnsi="Arial" w:cs="Arial"/>
          <w:b/>
          <w:bCs/>
        </w:rPr>
        <w:lastRenderedPageBreak/>
        <w:t xml:space="preserve">University of Arizona, Tucson AZ 85721, USA: </w:t>
      </w:r>
      <w:r w:rsidRPr="13231772">
        <w:rPr>
          <w:rFonts w:ascii="Arial" w:eastAsia="Arial" w:hAnsi="Arial" w:cs="Arial"/>
        </w:rPr>
        <w:t xml:space="preserve">Monica Kraft, Chris Bime, Jarrod Mosier, Heidi Erickson, Ron Schunk, Hiroki Kimura, Michelle Conway, Dave Francisco, Allyson Molzahn, Connie Cathleen Wilson, Ron Schunk, Trina Hughes, Bianca Sierra </w:t>
      </w:r>
    </w:p>
    <w:p w14:paraId="6930EC9B" w14:textId="77777777" w:rsidR="00ED752C" w:rsidRPr="00D30703" w:rsidRDefault="00ED752C" w:rsidP="00ED752C">
      <w:pPr>
        <w:spacing w:after="0" w:line="257" w:lineRule="auto"/>
      </w:pPr>
      <w:r w:rsidRPr="13231772">
        <w:rPr>
          <w:rFonts w:ascii="Arial" w:eastAsia="Arial" w:hAnsi="Arial" w:cs="Arial"/>
          <w:b/>
          <w:bCs/>
        </w:rPr>
        <w:t xml:space="preserve">University of Florida, Gainesville, FL 32611, USA: </w:t>
      </w:r>
      <w:r w:rsidRPr="13231772">
        <w:rPr>
          <w:rFonts w:ascii="Arial" w:eastAsia="Arial" w:hAnsi="Arial" w:cs="Arial"/>
        </w:rPr>
        <w:t xml:space="preserve">Mark A. Atkinson, Scott C. Brakenridge, Ricardo F. Ungaro, Brittany Roth Manning, Lyle Moldawer University of Florida, Jacksonville, FL 32218, USA: Jordan Oberhaus, Faheem W. Guirgis University of South Florida, Tampa FL 33620, USA: Brittney Borresen, Matthew L. Anderson </w:t>
      </w:r>
    </w:p>
    <w:p w14:paraId="14F1EE0C" w14:textId="77777777" w:rsidR="00ED752C" w:rsidRPr="00D30703" w:rsidRDefault="00ED752C" w:rsidP="00ED752C">
      <w:pPr>
        <w:spacing w:after="0" w:line="257" w:lineRule="auto"/>
      </w:pPr>
      <w:r w:rsidRPr="13231772">
        <w:rPr>
          <w:rFonts w:ascii="Arial" w:eastAsia="Arial" w:hAnsi="Arial" w:cs="Arial"/>
          <w:b/>
          <w:bCs/>
        </w:rPr>
        <w:t>The University of Texas at Austin, Austin, TX 78712, USA:</w:t>
      </w:r>
      <w:r w:rsidRPr="13231772">
        <w:rPr>
          <w:rFonts w:ascii="Arial" w:eastAsia="Arial" w:hAnsi="Arial" w:cs="Arial"/>
        </w:rPr>
        <w:t xml:space="preserve"> Lauren I. R. Ehrlich, Esther Melamed, Cole Maguire, Dennis Wylie, Justin F. Rousseau, Kerin C. Hurley, Janelle N. Geltman, Nadia Siles, Jacob E. Rogers, Pablo Guaman Tipan. </w:t>
      </w:r>
    </w:p>
    <w:p w14:paraId="2045FFE1" w14:textId="77777777" w:rsidR="00ED752C" w:rsidRDefault="00ED752C" w:rsidP="00ED752C">
      <w:pPr>
        <w:spacing w:after="0" w:line="257" w:lineRule="auto"/>
        <w:rPr>
          <w:rFonts w:ascii="Arial" w:eastAsia="Arial" w:hAnsi="Arial" w:cs="Arial"/>
          <w:b/>
          <w:bCs/>
        </w:rPr>
      </w:pPr>
    </w:p>
    <w:p w14:paraId="38761316" w14:textId="77777777" w:rsidR="00ED752C" w:rsidRPr="00D30703" w:rsidRDefault="00ED752C" w:rsidP="00ED752C">
      <w:pPr>
        <w:spacing w:after="0" w:line="257" w:lineRule="auto"/>
      </w:pPr>
      <w:r w:rsidRPr="13231772">
        <w:rPr>
          <w:rFonts w:ascii="Arial" w:eastAsia="Arial" w:hAnsi="Arial" w:cs="Arial"/>
          <w:b/>
          <w:bCs/>
        </w:rPr>
        <w:t>IMPACC Network Competing Interests</w:t>
      </w:r>
    </w:p>
    <w:p w14:paraId="24C6FD40" w14:textId="77777777" w:rsidR="00ED752C" w:rsidRPr="00634423" w:rsidRDefault="00ED752C" w:rsidP="00ED752C">
      <w:pPr>
        <w:spacing w:after="0" w:line="257" w:lineRule="auto"/>
      </w:pPr>
      <w:r w:rsidRPr="13231772">
        <w:rPr>
          <w:rFonts w:ascii="Arial" w:eastAsia="Arial" w:hAnsi="Arial" w:cs="Arial"/>
        </w:rPr>
        <w:t xml:space="preserve">The Icahn School of Medicine at Mount Sinai has filed patent applications relating to SARS-CoV-2 serological assays and NDV-based SARS-CoV-2 vaccines which list Florian Krammer as co-inventor. Mount Sinai has spun out a company, Kantaro, to market serological tests for SARS-CoV-2. Florian Krammer has consulted for Merck and Pfizer (before 2020), and is currently consulting for Pfizer, Seqirus, 3rd Rock Ventures, Merck and Avimex. The Krammer laboratory is also collaborating with Pfizer on animal models of SARS-CoV-2. Viviana Simon is a co-inventor on a patent filed relating to SARS-CoV-2 serological assays (the "Serology Assays"). Ofer Levy is a named inventor on patents held by Boston Children’s Hospital relating to vaccine adjuvants and human in vitro platforms that model vaccine action. His laboratory has received research support from GlaxoSmithKline (GSK) and is a co-founder of and advisor to </w:t>
      </w:r>
      <w:r w:rsidRPr="00B24289">
        <w:rPr>
          <w:rFonts w:ascii="Arial" w:eastAsia="Arial" w:hAnsi="Arial" w:cs="Arial"/>
          <w:i/>
          <w:iCs/>
        </w:rPr>
        <w:t>ARMR Sciences</w:t>
      </w:r>
      <w:r>
        <w:rPr>
          <w:rFonts w:ascii="Arial" w:eastAsia="Arial" w:hAnsi="Arial" w:cs="Arial"/>
        </w:rPr>
        <w:t xml:space="preserve"> (formerly </w:t>
      </w:r>
      <w:r w:rsidRPr="13231772">
        <w:rPr>
          <w:rFonts w:ascii="Arial" w:eastAsia="Arial" w:hAnsi="Arial" w:cs="Arial"/>
        </w:rPr>
        <w:t>Ovax, Inc</w:t>
      </w:r>
      <w:r>
        <w:rPr>
          <w:rFonts w:ascii="Arial" w:eastAsia="Arial" w:hAnsi="Arial" w:cs="Arial"/>
        </w:rPr>
        <w:t>) that develops technologies to detect illicit substances and prevent overdose</w:t>
      </w:r>
      <w:r w:rsidRPr="13231772">
        <w:rPr>
          <w:rFonts w:ascii="Arial" w:eastAsia="Arial" w:hAnsi="Arial" w:cs="Arial"/>
        </w:rPr>
        <w:t xml:space="preserve">. </w:t>
      </w:r>
      <w:r>
        <w:rPr>
          <w:rFonts w:ascii="Arial" w:eastAsia="Arial" w:hAnsi="Arial" w:cs="Arial"/>
        </w:rPr>
        <w:t>He is a consultant to GSK and Sanofi.</w:t>
      </w:r>
      <w:r w:rsidRPr="13231772">
        <w:rPr>
          <w:rFonts w:ascii="Arial" w:eastAsia="Arial" w:hAnsi="Arial" w:cs="Arial"/>
        </w:rPr>
        <w:t xml:space="preserve"> Charles Cairns serves as a consultant to bioMerieux and is funded for a grant from Bill &amp; Melinda Gates Foundation. James A Overton is a consultant at Knocean Inc. Jessica Lasky-Su serves as a scientific advisor of Precion Inc. Scott R. Hutton, Greg Michelloti and Kari Wong are employees of Metabolon Inc. Vicki Seyfer- Margolis is a current employee of MyOwnMed. Nadine Rouphael reports grants or contracts with Merck, Sanofi, Pfizer, Vaccine Company, Quidel, Lilly and Immorna, and has participated on data safety monitoring boards for Moderna, Sanofi, Seqirus, Pfizer, EMMES, ICON, BARDA, Imunon, CyanVac and Micron. Nadine Rouphael has also received support for meetings/travel from Sanofi and Moderna and honoraria from Virology Education.  Adeeb Rahman is a current employee of Immunai Inc. Steven Kleinstein is a consultant related to ImmPort data repository for Peraton. Nathan Grabaugh is a consultant for Tempus Labs and the National Basketball Association. Akiko Iwasaki is a consultant for 4BIO, Blue Willow Biologics, Revelar Biotherapeutics, RIGImmune, Xanadu Bio, Paratus Sciences. Monika Kraft receives research funds paid to her institution from NIH, ALA; Sanofi, Astra-Zeneca for work in asthma, serves as a consultant for Astra-Zeneca, Sanofi, Chiesi, GSK for severe asthma; is a co-founder and CMO for RaeSedo, Inc, a company created to develop peptidomimetics for treatment of inflammatory lung disease. Esther Melamed received research funding from Babson Diagnostics and honorarium from Multiple Sclerosis Association of America and has served on the advisory boards of Genentech, Horizon, Teva, and Viela Bio. Carolyn Calfee receives research funding from NIH, FDA, DOD, Roche-Genentech and Quantum Leap Healthcare Collaborative as well as consulting services for Janssen, Vasomune, Gen1e Life Sciences, NGMBio, and Cellenkos. Wade Schulz was an investigator for a research agreement, through Yale University, from the Shenzhen Center for Health Information for work to advance intelligent disease prevention and health promotion; collaborates with the National Center for Cardiovascular Diseases in Beijing; </w:t>
      </w:r>
      <w:r w:rsidRPr="13231772">
        <w:rPr>
          <w:rFonts w:ascii="Arial" w:eastAsia="Arial" w:hAnsi="Arial" w:cs="Arial"/>
        </w:rPr>
        <w:lastRenderedPageBreak/>
        <w:t xml:space="preserve">is a technical consultant to Hugo Health, a personal health information platform; cofounder of Refactor Health, an AI-augmented data management platform for health care; and has received grants from Merck and Regeneron Pharmaceutical for research related to COVID-19. Grace A McComsey received research grants from Redhill, Cognivue, Pfizer, and Genentech, and served as a research consultant for Gilead, Merck, Viiv/GSK, and Jenssen. Linda N. Geng received research funding paid to her institution from Pfizer, Inc.   </w:t>
      </w:r>
    </w:p>
    <w:p w14:paraId="575C76D1" w14:textId="77777777" w:rsidR="00DE6AE2" w:rsidRDefault="00DE6AE2"/>
    <w:sectPr w:rsidR="00DE6AE2" w:rsidSect="00ED752C">
      <w:headerReference w:type="default" r:id="rId8"/>
      <w:footerReference w:type="even" r:id="rId9"/>
      <w:footerReference w:type="default" r:id="rId10"/>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2274647"/>
      <w:docPartObj>
        <w:docPartGallery w:val="Page Numbers (Bottom of Page)"/>
        <w:docPartUnique/>
      </w:docPartObj>
    </w:sdtPr>
    <w:sdtContent>
      <w:p w14:paraId="57DB5440" w14:textId="77777777" w:rsidR="00000000" w:rsidRDefault="00000000" w:rsidP="003D39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43BF04C" w14:textId="77777777" w:rsidR="00000000" w:rsidRDefault="00000000" w:rsidP="001466E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8592292"/>
      <w:docPartObj>
        <w:docPartGallery w:val="Page Numbers (Bottom of Page)"/>
        <w:docPartUnique/>
      </w:docPartObj>
    </w:sdtPr>
    <w:sdtContent>
      <w:p w14:paraId="3A687DEE" w14:textId="77777777" w:rsidR="00000000" w:rsidRDefault="00000000" w:rsidP="003D39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p>
    </w:sdtContent>
  </w:sdt>
  <w:p w14:paraId="55B3F012" w14:textId="77777777" w:rsidR="00000000" w:rsidRDefault="00000000" w:rsidP="001466E5">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CEA7C"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52C"/>
    <w:rsid w:val="00195413"/>
    <w:rsid w:val="001F452D"/>
    <w:rsid w:val="003D0186"/>
    <w:rsid w:val="007278E4"/>
    <w:rsid w:val="00A3738C"/>
    <w:rsid w:val="00BC6C35"/>
    <w:rsid w:val="00CB270D"/>
    <w:rsid w:val="00CF7583"/>
    <w:rsid w:val="00DE6AE2"/>
    <w:rsid w:val="00ED7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7E707"/>
  <w15:chartTrackingRefBased/>
  <w15:docId w15:val="{D4A9EEFA-E8D3-40DE-AFDD-56BEEB5A1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752C"/>
    <w:pPr>
      <w:spacing w:line="259" w:lineRule="auto"/>
    </w:pPr>
    <w:rPr>
      <w:kern w:val="0"/>
      <w:sz w:val="22"/>
      <w:szCs w:val="22"/>
      <w14:ligatures w14:val="none"/>
    </w:rPr>
  </w:style>
  <w:style w:type="paragraph" w:styleId="Heading1">
    <w:name w:val="heading 1"/>
    <w:basedOn w:val="Normal"/>
    <w:next w:val="Normal"/>
    <w:link w:val="Heading1Char"/>
    <w:uiPriority w:val="9"/>
    <w:qFormat/>
    <w:rsid w:val="00ED752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D752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D752C"/>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D752C"/>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D752C"/>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D752C"/>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D752C"/>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D752C"/>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D752C"/>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75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75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75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75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75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75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75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75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752C"/>
    <w:rPr>
      <w:rFonts w:eastAsiaTheme="majorEastAsia" w:cstheme="majorBidi"/>
      <w:color w:val="272727" w:themeColor="text1" w:themeTint="D8"/>
    </w:rPr>
  </w:style>
  <w:style w:type="paragraph" w:styleId="Title">
    <w:name w:val="Title"/>
    <w:basedOn w:val="Normal"/>
    <w:next w:val="Normal"/>
    <w:link w:val="TitleChar"/>
    <w:uiPriority w:val="10"/>
    <w:qFormat/>
    <w:rsid w:val="00ED752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D75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752C"/>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D75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752C"/>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D752C"/>
    <w:rPr>
      <w:i/>
      <w:iCs/>
      <w:color w:val="404040" w:themeColor="text1" w:themeTint="BF"/>
    </w:rPr>
  </w:style>
  <w:style w:type="paragraph" w:styleId="ListParagraph">
    <w:name w:val="List Paragraph"/>
    <w:basedOn w:val="Normal"/>
    <w:uiPriority w:val="34"/>
    <w:qFormat/>
    <w:rsid w:val="00ED752C"/>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D752C"/>
    <w:rPr>
      <w:i/>
      <w:iCs/>
      <w:color w:val="0F4761" w:themeColor="accent1" w:themeShade="BF"/>
    </w:rPr>
  </w:style>
  <w:style w:type="paragraph" w:styleId="IntenseQuote">
    <w:name w:val="Intense Quote"/>
    <w:basedOn w:val="Normal"/>
    <w:next w:val="Normal"/>
    <w:link w:val="IntenseQuoteChar"/>
    <w:uiPriority w:val="30"/>
    <w:qFormat/>
    <w:rsid w:val="00ED752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D752C"/>
    <w:rPr>
      <w:i/>
      <w:iCs/>
      <w:color w:val="0F4761" w:themeColor="accent1" w:themeShade="BF"/>
    </w:rPr>
  </w:style>
  <w:style w:type="character" w:styleId="IntenseReference">
    <w:name w:val="Intense Reference"/>
    <w:basedOn w:val="DefaultParagraphFont"/>
    <w:uiPriority w:val="32"/>
    <w:qFormat/>
    <w:rsid w:val="00ED752C"/>
    <w:rPr>
      <w:b/>
      <w:bCs/>
      <w:smallCaps/>
      <w:color w:val="0F4761" w:themeColor="accent1" w:themeShade="BF"/>
      <w:spacing w:val="5"/>
    </w:rPr>
  </w:style>
  <w:style w:type="paragraph" w:styleId="Footer">
    <w:name w:val="footer"/>
    <w:basedOn w:val="Normal"/>
    <w:link w:val="FooterChar"/>
    <w:uiPriority w:val="99"/>
    <w:unhideWhenUsed/>
    <w:rsid w:val="00ED75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752C"/>
    <w:rPr>
      <w:kern w:val="0"/>
      <w:sz w:val="22"/>
      <w:szCs w:val="22"/>
      <w14:ligatures w14:val="none"/>
    </w:rPr>
  </w:style>
  <w:style w:type="character" w:styleId="PageNumber">
    <w:name w:val="page number"/>
    <w:basedOn w:val="DefaultParagraphFont"/>
    <w:uiPriority w:val="99"/>
    <w:semiHidden/>
    <w:unhideWhenUsed/>
    <w:rsid w:val="00ED752C"/>
  </w:style>
  <w:style w:type="paragraph" w:styleId="Header">
    <w:name w:val="header"/>
    <w:basedOn w:val="Normal"/>
    <w:link w:val="HeaderChar"/>
    <w:uiPriority w:val="99"/>
    <w:unhideWhenUsed/>
    <w:rsid w:val="00ED75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752C"/>
    <w:rPr>
      <w:kern w:val="0"/>
      <w:sz w:val="22"/>
      <w:szCs w:val="22"/>
      <w14:ligatures w14:val="none"/>
    </w:rPr>
  </w:style>
  <w:style w:type="character" w:styleId="LineNumber">
    <w:name w:val="line number"/>
    <w:basedOn w:val="DefaultParagraphFont"/>
    <w:uiPriority w:val="99"/>
    <w:semiHidden/>
    <w:unhideWhenUsed/>
    <w:rsid w:val="00ED7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2900</Words>
  <Characters>16536</Characters>
  <Application>Microsoft Office Word</Application>
  <DocSecurity>0</DocSecurity>
  <Lines>137</Lines>
  <Paragraphs>38</Paragraphs>
  <ScaleCrop>false</ScaleCrop>
  <Company>Springer Nature</Company>
  <LinksUpToDate>false</LinksUpToDate>
  <CharactersWithSpaces>19398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2025-06-18T15:52:00Z</dcterms:created>
  <dcterms:modified xsi:type="dcterms:W3CDTF">2025-06-18T15:52:00Z</dcterms:modified>
</cp:coreProperties>
</file>