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3BDCAA" w14:textId="77777777" w:rsidR="00503028" w:rsidRDefault="00503028" w:rsidP="00503028">
      <w:pPr>
        <w:spacing w:line="480" w:lineRule="auto"/>
        <w:rPr>
          <w:b/>
          <w:bCs/>
          <w:color w:val="000000"/>
        </w:rPr>
      </w:pPr>
      <w:r>
        <w:rPr>
          <w:b/>
          <w:bCs/>
          <w:color w:val="000000"/>
        </w:rPr>
        <w:t>Supp Figure 1</w:t>
      </w:r>
      <w:r>
        <w:rPr>
          <w:b/>
          <w:bCs/>
          <w:noProof/>
        </w:rPr>
        <w:drawing>
          <wp:inline distT="0" distB="0" distL="0" distR="0" wp14:anchorId="3D972AC9" wp14:editId="6B514186">
            <wp:extent cx="5943600" cy="7691755"/>
            <wp:effectExtent l="0" t="0" r="0" b="0"/>
            <wp:docPr id="200958705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9587056" name="Picture 2009587056"/>
                    <pic:cNvPicPr/>
                  </pic:nvPicPr>
                  <pic:blipFill>
                    <a:blip r:embed="rId4"/>
                    <a:stretch>
                      <a:fillRect/>
                    </a:stretch>
                  </pic:blipFill>
                  <pic:spPr>
                    <a:xfrm>
                      <a:off x="0" y="0"/>
                      <a:ext cx="5943600" cy="7691755"/>
                    </a:xfrm>
                    <a:prstGeom prst="rect">
                      <a:avLst/>
                    </a:prstGeom>
                  </pic:spPr>
                </pic:pic>
              </a:graphicData>
            </a:graphic>
          </wp:inline>
        </w:drawing>
      </w:r>
    </w:p>
    <w:p w14:paraId="4C8D199C" w14:textId="77777777" w:rsidR="00503028" w:rsidRDefault="00503028" w:rsidP="00503028">
      <w:pPr>
        <w:spacing w:line="480" w:lineRule="auto"/>
        <w:rPr>
          <w:b/>
          <w:bCs/>
          <w:color w:val="000000"/>
        </w:rPr>
      </w:pPr>
      <w:r>
        <w:rPr>
          <w:b/>
          <w:bCs/>
          <w:color w:val="000000"/>
        </w:rPr>
        <w:lastRenderedPageBreak/>
        <w:t>Supp Figure 2</w:t>
      </w:r>
      <w:r>
        <w:rPr>
          <w:b/>
          <w:bCs/>
          <w:noProof/>
        </w:rPr>
        <w:drawing>
          <wp:inline distT="0" distB="0" distL="0" distR="0" wp14:anchorId="274BB016" wp14:editId="1DAEFFF4">
            <wp:extent cx="5943600" cy="7691755"/>
            <wp:effectExtent l="0" t="0" r="0" b="0"/>
            <wp:docPr id="8504823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0482361" name="Picture 850482361"/>
                    <pic:cNvPicPr/>
                  </pic:nvPicPr>
                  <pic:blipFill>
                    <a:blip r:embed="rId5"/>
                    <a:stretch>
                      <a:fillRect/>
                    </a:stretch>
                  </pic:blipFill>
                  <pic:spPr>
                    <a:xfrm>
                      <a:off x="0" y="0"/>
                      <a:ext cx="5943600" cy="7691755"/>
                    </a:xfrm>
                    <a:prstGeom prst="rect">
                      <a:avLst/>
                    </a:prstGeom>
                  </pic:spPr>
                </pic:pic>
              </a:graphicData>
            </a:graphic>
          </wp:inline>
        </w:drawing>
      </w:r>
    </w:p>
    <w:p w14:paraId="5C1C43D2" w14:textId="77777777" w:rsidR="00503028" w:rsidRDefault="00503028" w:rsidP="00503028">
      <w:pPr>
        <w:spacing w:line="480" w:lineRule="auto"/>
        <w:rPr>
          <w:b/>
          <w:bCs/>
          <w:color w:val="000000"/>
        </w:rPr>
      </w:pPr>
      <w:r>
        <w:rPr>
          <w:b/>
          <w:bCs/>
          <w:color w:val="000000"/>
        </w:rPr>
        <w:lastRenderedPageBreak/>
        <w:t>Supp Figure 3</w:t>
      </w:r>
      <w:r>
        <w:rPr>
          <w:b/>
          <w:bCs/>
          <w:noProof/>
        </w:rPr>
        <w:drawing>
          <wp:inline distT="0" distB="0" distL="0" distR="0" wp14:anchorId="5D9E03D0" wp14:editId="12052A0B">
            <wp:extent cx="5943600" cy="7691755"/>
            <wp:effectExtent l="0" t="0" r="0" b="0"/>
            <wp:docPr id="541867270"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1867270" name="Picture 541867270"/>
                    <pic:cNvPicPr/>
                  </pic:nvPicPr>
                  <pic:blipFill>
                    <a:blip r:embed="rId6"/>
                    <a:stretch>
                      <a:fillRect/>
                    </a:stretch>
                  </pic:blipFill>
                  <pic:spPr>
                    <a:xfrm>
                      <a:off x="0" y="0"/>
                      <a:ext cx="5943600" cy="7691755"/>
                    </a:xfrm>
                    <a:prstGeom prst="rect">
                      <a:avLst/>
                    </a:prstGeom>
                  </pic:spPr>
                </pic:pic>
              </a:graphicData>
            </a:graphic>
          </wp:inline>
        </w:drawing>
      </w:r>
    </w:p>
    <w:p w14:paraId="2FA36457" w14:textId="38036050" w:rsidR="0038214D" w:rsidRDefault="00503028" w:rsidP="00503028">
      <w:pPr>
        <w:spacing w:line="480" w:lineRule="auto"/>
        <w:rPr>
          <w:b/>
          <w:bCs/>
          <w:color w:val="000000"/>
        </w:rPr>
      </w:pPr>
      <w:r>
        <w:rPr>
          <w:b/>
          <w:bCs/>
          <w:color w:val="000000"/>
        </w:rPr>
        <w:lastRenderedPageBreak/>
        <w:t>Supp Figure 4</w:t>
      </w:r>
      <w:r>
        <w:rPr>
          <w:b/>
          <w:bCs/>
          <w:noProof/>
        </w:rPr>
        <w:drawing>
          <wp:inline distT="0" distB="0" distL="0" distR="0" wp14:anchorId="6B2A958D" wp14:editId="5BB82CD8">
            <wp:extent cx="5943600" cy="7691755"/>
            <wp:effectExtent l="0" t="0" r="0" b="0"/>
            <wp:docPr id="29955651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556519" name="Picture 299556519"/>
                    <pic:cNvPicPr/>
                  </pic:nvPicPr>
                  <pic:blipFill>
                    <a:blip r:embed="rId7"/>
                    <a:stretch>
                      <a:fillRect/>
                    </a:stretch>
                  </pic:blipFill>
                  <pic:spPr>
                    <a:xfrm>
                      <a:off x="0" y="0"/>
                      <a:ext cx="5943600" cy="7691755"/>
                    </a:xfrm>
                    <a:prstGeom prst="rect">
                      <a:avLst/>
                    </a:prstGeom>
                  </pic:spPr>
                </pic:pic>
              </a:graphicData>
            </a:graphic>
          </wp:inline>
        </w:drawing>
      </w:r>
    </w:p>
    <w:p w14:paraId="0D758B6A" w14:textId="77777777" w:rsidR="00351F81" w:rsidRPr="00682E07" w:rsidRDefault="00351F81" w:rsidP="00351F81">
      <w:pPr>
        <w:spacing w:line="480" w:lineRule="auto"/>
      </w:pPr>
      <w:r>
        <w:rPr>
          <w:b/>
          <w:bCs/>
        </w:rPr>
        <w:lastRenderedPageBreak/>
        <w:t>Supplemental Figure 1:</w:t>
      </w:r>
      <w:r>
        <w:t xml:space="preserve"> </w:t>
      </w:r>
      <w:r w:rsidRPr="009F13BA">
        <w:rPr>
          <w:b/>
          <w:bCs/>
        </w:rPr>
        <w:t>(A)</w:t>
      </w:r>
      <w:r>
        <w:t xml:space="preserve"> Distribution of expressed transposable elements (TEs) across chromosomes. Red columns show the expected distribution of expression as determined by 10,000 random simulations of expression. Blue corresponds to the observed expression. The table provides the exact values, with significantly over or under represented chromosomes bolded (p-value &lt; 0.01) </w:t>
      </w:r>
      <w:r>
        <w:rPr>
          <w:b/>
          <w:bCs/>
        </w:rPr>
        <w:t>(B)</w:t>
      </w:r>
      <w:r>
        <w:t xml:space="preserve"> PCA plot of GSC gene expression, with clusters determined by the most variably expressed genes. The labels indicate the TE cluster the sample belongs to. Although partially overlapping, the groupings of cells are different. </w:t>
      </w:r>
    </w:p>
    <w:p w14:paraId="71721E7F" w14:textId="77777777" w:rsidR="00351F81" w:rsidRPr="00FE7230" w:rsidRDefault="00351F81" w:rsidP="00351F81">
      <w:pPr>
        <w:spacing w:line="480" w:lineRule="auto"/>
      </w:pPr>
      <w:r>
        <w:rPr>
          <w:b/>
          <w:bCs/>
        </w:rPr>
        <w:t>Supplemental Figure 2:</w:t>
      </w:r>
      <w:r>
        <w:t xml:space="preserve"> Significantly differentially expressed genes that were identified to be drivers of glioblastoma stem cell states</w:t>
      </w:r>
      <w:sdt>
        <w:sdtPr>
          <w:rPr>
            <w:color w:val="000000"/>
          </w:rPr>
          <w:tag w:val="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"/>
          <w:id w:val="-1650050884"/>
          <w:placeholder>
            <w:docPart w:val="CE80F1FEE22F4ADFBBA4CD30C592BEE0"/>
          </w:placeholder>
        </w:sdtPr>
        <w:sdtContent>
          <w:r w:rsidRPr="00432F01">
            <w:rPr>
              <w:color w:val="000000"/>
            </w:rPr>
            <w:t>(49)</w:t>
          </w:r>
        </w:sdtContent>
      </w:sdt>
      <w:r>
        <w:t>.  Confirming our other results, cluster 2 has increased expression of genes related to the mesenchymal signature and decreased expression of genes related to astrocyte, oligodendrocyte precursor and neural precursor signatures.</w:t>
      </w:r>
    </w:p>
    <w:p w14:paraId="4208E8CB" w14:textId="77777777" w:rsidR="00351F81" w:rsidRDefault="00351F81" w:rsidP="00351F81">
      <w:pPr>
        <w:spacing w:line="480" w:lineRule="auto"/>
      </w:pPr>
      <w:r>
        <w:rPr>
          <w:b/>
          <w:bCs/>
        </w:rPr>
        <w:t>Supplemental Figure 3:</w:t>
      </w:r>
      <w:r>
        <w:t xml:space="preserve"> More representative screen captures from the Integrative Genomics Viewer demonstrating TE overlap with </w:t>
      </w:r>
      <w:r>
        <w:rPr>
          <w:b/>
          <w:bCs/>
        </w:rPr>
        <w:t>(A)</w:t>
      </w:r>
      <w:r>
        <w:t xml:space="preserve"> genes related to epithelial to mesenchymal transition and </w:t>
      </w:r>
      <w:r>
        <w:rPr>
          <w:b/>
          <w:bCs/>
        </w:rPr>
        <w:t>(B)</w:t>
      </w:r>
      <w:r>
        <w:t xml:space="preserve"> enhancer elements. GH01J247110 regulates the expression of ZNF669 and ZNF124.</w:t>
      </w:r>
    </w:p>
    <w:p w14:paraId="6AD79AEC" w14:textId="77777777" w:rsidR="00351F81" w:rsidRDefault="00351F81" w:rsidP="00351F81">
      <w:pPr>
        <w:spacing w:line="480" w:lineRule="auto"/>
      </w:pPr>
      <w:r>
        <w:rPr>
          <w:b/>
          <w:bCs/>
        </w:rPr>
        <w:t>Supplemental Figure 4:</w:t>
      </w:r>
      <w:r>
        <w:t xml:space="preserve"> TFs related to glioblastoma signatures that had significant changes in their activity score between the two clusters (p-value &lt; 0.05).</w:t>
      </w:r>
    </w:p>
    <w:p w14:paraId="4075A22F" w14:textId="77777777" w:rsidR="00351F81" w:rsidRPr="00503028" w:rsidRDefault="00351F81" w:rsidP="00503028">
      <w:pPr>
        <w:spacing w:line="480" w:lineRule="auto"/>
        <w:rPr>
          <w:b/>
          <w:bCs/>
        </w:rPr>
      </w:pPr>
    </w:p>
    <w:sectPr w:rsidR="00351F81" w:rsidRPr="00503028" w:rsidSect="00503028">
      <w:footerReference w:type="even" r:id="rId8"/>
      <w:footerReference w:type="default" r:id="rId9"/>
      <w:pgSz w:w="12240" w:h="15840"/>
      <w:pgMar w:top="1440" w:right="1440" w:bottom="1440" w:left="1440" w:header="720" w:footer="720" w:gutter="0"/>
      <w:lnNumType w:countBy="1" w:restart="continuous"/>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625225113"/>
      <w:docPartObj>
        <w:docPartGallery w:val="Page Numbers (Bottom of Page)"/>
        <w:docPartUnique/>
      </w:docPartObj>
    </w:sdtPr>
    <w:sdtContent>
      <w:p w14:paraId="439D4697" w14:textId="77777777" w:rsidR="00000000" w:rsidRDefault="00000000" w:rsidP="00604C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3A9ECD2" w14:textId="77777777" w:rsidR="00000000" w:rsidRDefault="00000000" w:rsidP="00C3314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82652169"/>
      <w:docPartObj>
        <w:docPartGallery w:val="Page Numbers (Bottom of Page)"/>
        <w:docPartUnique/>
      </w:docPartObj>
    </w:sdtPr>
    <w:sdtContent>
      <w:p w14:paraId="6EF66A9E" w14:textId="77777777" w:rsidR="00000000" w:rsidRDefault="00000000" w:rsidP="00604C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E65123A" w14:textId="77777777" w:rsidR="00000000" w:rsidRDefault="00000000" w:rsidP="00C33146">
    <w:pPr>
      <w:pStyle w:val="Foote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3028"/>
    <w:rsid w:val="00235F39"/>
    <w:rsid w:val="002761C8"/>
    <w:rsid w:val="00351F81"/>
    <w:rsid w:val="0038214D"/>
    <w:rsid w:val="00503028"/>
    <w:rsid w:val="00530909"/>
    <w:rsid w:val="00AA3AC3"/>
    <w:rsid w:val="00AD7A41"/>
    <w:rsid w:val="00AE732B"/>
    <w:rsid w:val="00CF3EC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0972A0"/>
  <w15:chartTrackingRefBased/>
  <w15:docId w15:val="{83126FFB-16F5-4A15-A798-96B7CD0447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3028"/>
    <w:pPr>
      <w:spacing w:after="0" w:line="240" w:lineRule="auto"/>
    </w:pPr>
  </w:style>
  <w:style w:type="paragraph" w:styleId="Heading1">
    <w:name w:val="heading 1"/>
    <w:basedOn w:val="Normal"/>
    <w:next w:val="Normal"/>
    <w:link w:val="Heading1Char"/>
    <w:uiPriority w:val="9"/>
    <w:qFormat/>
    <w:rsid w:val="0050302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302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3028"/>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3028"/>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3028"/>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3028"/>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3028"/>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3028"/>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3028"/>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302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302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302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302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302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30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30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30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3028"/>
    <w:rPr>
      <w:rFonts w:eastAsiaTheme="majorEastAsia" w:cstheme="majorBidi"/>
      <w:color w:val="272727" w:themeColor="text1" w:themeTint="D8"/>
    </w:rPr>
  </w:style>
  <w:style w:type="paragraph" w:styleId="Title">
    <w:name w:val="Title"/>
    <w:basedOn w:val="Normal"/>
    <w:next w:val="Normal"/>
    <w:link w:val="TitleChar"/>
    <w:uiPriority w:val="10"/>
    <w:qFormat/>
    <w:rsid w:val="005030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30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3028"/>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30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3028"/>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503028"/>
    <w:rPr>
      <w:i/>
      <w:iCs/>
      <w:color w:val="404040" w:themeColor="text1" w:themeTint="BF"/>
    </w:rPr>
  </w:style>
  <w:style w:type="paragraph" w:styleId="ListParagraph">
    <w:name w:val="List Paragraph"/>
    <w:basedOn w:val="Normal"/>
    <w:uiPriority w:val="34"/>
    <w:qFormat/>
    <w:rsid w:val="00503028"/>
    <w:pPr>
      <w:spacing w:after="160" w:line="278" w:lineRule="auto"/>
      <w:ind w:left="720"/>
      <w:contextualSpacing/>
    </w:pPr>
  </w:style>
  <w:style w:type="character" w:styleId="IntenseEmphasis">
    <w:name w:val="Intense Emphasis"/>
    <w:basedOn w:val="DefaultParagraphFont"/>
    <w:uiPriority w:val="21"/>
    <w:qFormat/>
    <w:rsid w:val="00503028"/>
    <w:rPr>
      <w:i/>
      <w:iCs/>
      <w:color w:val="0F4761" w:themeColor="accent1" w:themeShade="BF"/>
    </w:rPr>
  </w:style>
  <w:style w:type="paragraph" w:styleId="IntenseQuote">
    <w:name w:val="Intense Quote"/>
    <w:basedOn w:val="Normal"/>
    <w:next w:val="Normal"/>
    <w:link w:val="IntenseQuoteChar"/>
    <w:uiPriority w:val="30"/>
    <w:qFormat/>
    <w:rsid w:val="0050302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3028"/>
    <w:rPr>
      <w:i/>
      <w:iCs/>
      <w:color w:val="0F4761" w:themeColor="accent1" w:themeShade="BF"/>
    </w:rPr>
  </w:style>
  <w:style w:type="character" w:styleId="IntenseReference">
    <w:name w:val="Intense Reference"/>
    <w:basedOn w:val="DefaultParagraphFont"/>
    <w:uiPriority w:val="32"/>
    <w:qFormat/>
    <w:rsid w:val="00503028"/>
    <w:rPr>
      <w:b/>
      <w:bCs/>
      <w:smallCaps/>
      <w:color w:val="0F4761" w:themeColor="accent1" w:themeShade="BF"/>
      <w:spacing w:val="5"/>
    </w:rPr>
  </w:style>
  <w:style w:type="paragraph" w:styleId="Footer">
    <w:name w:val="footer"/>
    <w:basedOn w:val="Normal"/>
    <w:link w:val="FooterChar"/>
    <w:uiPriority w:val="99"/>
    <w:unhideWhenUsed/>
    <w:rsid w:val="00503028"/>
    <w:pPr>
      <w:tabs>
        <w:tab w:val="center" w:pos="4680"/>
        <w:tab w:val="right" w:pos="9360"/>
      </w:tabs>
    </w:pPr>
  </w:style>
  <w:style w:type="character" w:customStyle="1" w:styleId="FooterChar">
    <w:name w:val="Footer Char"/>
    <w:basedOn w:val="DefaultParagraphFont"/>
    <w:link w:val="Footer"/>
    <w:uiPriority w:val="99"/>
    <w:rsid w:val="00503028"/>
  </w:style>
  <w:style w:type="character" w:styleId="PageNumber">
    <w:name w:val="page number"/>
    <w:basedOn w:val="DefaultParagraphFont"/>
    <w:uiPriority w:val="99"/>
    <w:semiHidden/>
    <w:unhideWhenUsed/>
    <w:rsid w:val="00503028"/>
  </w:style>
  <w:style w:type="character" w:styleId="LineNumber">
    <w:name w:val="line number"/>
    <w:basedOn w:val="DefaultParagraphFont"/>
    <w:uiPriority w:val="99"/>
    <w:semiHidden/>
    <w:unhideWhenUsed/>
    <w:rsid w:val="005030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image" Target="media/image4.em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glossaryDocument" Target="glossary/document.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E80F1FEE22F4ADFBBA4CD30C592BEE0"/>
        <w:category>
          <w:name w:val="General"/>
          <w:gallery w:val="placeholder"/>
        </w:category>
        <w:types>
          <w:type w:val="bbPlcHdr"/>
        </w:types>
        <w:behaviors>
          <w:behavior w:val="content"/>
        </w:behaviors>
        <w:guid w:val="{BB1793CF-0EDB-4BDF-98FF-5036F23CA930}"/>
      </w:docPartPr>
      <w:docPartBody>
        <w:p w:rsidR="00000000" w:rsidRDefault="00D61B35" w:rsidP="00D61B35">
          <w:pPr>
            <w:pStyle w:val="CE80F1FEE22F4ADFBBA4CD30C592BEE0"/>
          </w:pPr>
          <w:r w:rsidRPr="005D0821">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B35"/>
    <w:rsid w:val="002761C8"/>
    <w:rsid w:val="00C5517F"/>
    <w:rsid w:val="00D61B3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61B35"/>
    <w:rPr>
      <w:color w:val="666666"/>
    </w:rPr>
  </w:style>
  <w:style w:type="paragraph" w:customStyle="1" w:styleId="CE80F1FEE22F4ADFBBA4CD30C592BEE0">
    <w:name w:val="CE80F1FEE22F4ADFBBA4CD30C592BEE0"/>
    <w:rsid w:val="00D61B3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218</Words>
  <Characters>1249</Characters>
  <Application>Microsoft Office Word</Application>
  <DocSecurity>0</DocSecurity>
  <Lines>10</Lines>
  <Paragraphs>2</Paragraphs>
  <ScaleCrop>false</ScaleCrop>
  <Company>Springer Nature</Company>
  <LinksUpToDate>false</LinksUpToDate>
  <CharactersWithSpaces>1465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Pawar</dc:creator>
  <cp:keywords/>
  <dc:description/>
  <cp:lastModifiedBy>Sachin Pawar</cp:lastModifiedBy>
  <cp:revision>2</cp:revision>
  <dcterms:created xsi:type="dcterms:W3CDTF">2025-06-19T16:24:00Z</dcterms:created>
  <dcterms:modified xsi:type="dcterms:W3CDTF">2025-06-19T16:26:00Z</dcterms:modified>
</cp:coreProperties>
</file>