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tiff" ContentType="image/tiff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573A11">
      <w:pPr>
        <w:pStyle w:val="43"/>
        <w:rPr>
          <w:sz w:val="28"/>
          <w:szCs w:val="28"/>
        </w:rPr>
      </w:pPr>
      <w:bookmarkStart w:id="0" w:name="_Hlk126435389"/>
      <w:bookmarkEnd w:id="0"/>
      <w:r>
        <w:rPr>
          <w:sz w:val="28"/>
          <w:szCs w:val="28"/>
        </w:rPr>
        <w:t>Supporting Information</w:t>
      </w:r>
    </w:p>
    <w:p w14:paraId="105B86B4">
      <w:pPr>
        <w:rPr>
          <w:rFonts w:ascii="Times New Roman" w:hAnsi="Times New Roman" w:cs="Times New Roman"/>
        </w:rPr>
      </w:pPr>
    </w:p>
    <w:p w14:paraId="7CBCC910">
      <w:pPr>
        <w:spacing w:line="240" w:lineRule="auto"/>
        <w:jc w:val="center"/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  <w:t>Microspheric hierarchical controlled-release system and cell growth platform achieves sequential dual-exosomes delivery and promote bone regeneration</w:t>
      </w:r>
    </w:p>
    <w:p w14:paraId="1A5D7299">
      <w:pPr>
        <w:spacing w:line="240" w:lineRule="auto"/>
        <w:jc w:val="center"/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</w:p>
    <w:p w14:paraId="739B5105">
      <w:pPr>
        <w:spacing w:line="240" w:lineRule="auto"/>
        <w:jc w:val="center"/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bookmarkStart w:id="1" w:name="_GoBack"/>
      <w:bookmarkEnd w:id="1"/>
    </w:p>
    <w:p w14:paraId="1B0C90FB">
      <w:pPr>
        <w:rPr>
          <w:rFonts w:hint="eastAsia" w:ascii="Times New Roman" w:hAnsi="Times New Roman" w:cs="Times New Roman"/>
          <w:i/>
          <w:iCs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i/>
          <w:iCs/>
          <w:sz w:val="24"/>
          <w:szCs w:val="24"/>
          <w:lang w:val="en-US" w:eastAsia="zh-CN"/>
        </w:rPr>
        <w:t>Yihan Wang</w:t>
      </w:r>
      <w:r>
        <w:rPr>
          <w:rFonts w:hint="eastAsia" w:eastAsia="宋体"/>
          <w:b/>
          <w:bCs/>
          <w:lang w:val="en-US" w:eastAsia="zh-CN"/>
        </w:rPr>
        <w:t>†</w:t>
      </w:r>
      <w:r>
        <w:rPr>
          <w:rFonts w:hint="eastAsia" w:ascii="Times New Roman" w:hAnsi="Times New Roman" w:cs="Times New Roman"/>
          <w:i/>
          <w:iCs/>
          <w:sz w:val="24"/>
          <w:szCs w:val="24"/>
          <w:lang w:val="en-US" w:eastAsia="zh-CN"/>
        </w:rPr>
        <w:t>, Huixin Lv</w:t>
      </w:r>
      <w:r>
        <w:rPr>
          <w:rFonts w:hint="eastAsia" w:eastAsia="宋体"/>
          <w:b/>
          <w:bCs/>
          <w:lang w:val="en-US" w:eastAsia="zh-CN"/>
        </w:rPr>
        <w:t>†</w:t>
      </w:r>
      <w:r>
        <w:rPr>
          <w:rFonts w:hint="eastAsia" w:ascii="Times New Roman" w:hAnsi="Times New Roman" w:cs="Times New Roman"/>
          <w:i/>
          <w:iCs/>
          <w:sz w:val="24"/>
          <w:szCs w:val="24"/>
          <w:lang w:val="en-US" w:eastAsia="zh-CN"/>
        </w:rPr>
        <w:t>, Jingxia Chen, Yangfan Pei, Xiuyu Liu, Sheng Chen, Siyu Chen, Xuyan Wei, Jiameng Zhang, Jingjie Zhai*, Yanmin Zhou*</w:t>
      </w:r>
    </w:p>
    <w:p w14:paraId="76C38685">
      <w:pPr>
        <w:pStyle w:val="39"/>
        <w:spacing w:line="360" w:lineRule="auto"/>
      </w:pPr>
    </w:p>
    <w:p w14:paraId="576EE88E">
      <w:pPr>
        <w:spacing w:line="480" w:lineRule="auto"/>
        <w:rPr>
          <w:rFonts w:hint="eastAsia" w:ascii="Times New Roman" w:hAnsi="Times New Roman" w:cs="Times New Roman"/>
          <w:i w:val="0"/>
          <w:iCs w:val="0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i w:val="0"/>
          <w:iCs w:val="0"/>
          <w:sz w:val="24"/>
          <w:szCs w:val="24"/>
          <w:lang w:val="en-US" w:eastAsia="zh-CN"/>
        </w:rPr>
        <w:t>Department of Oral Implantology, Hospital of Stomatology, Jilin University, Changchun, 130021, China.</w:t>
      </w:r>
    </w:p>
    <w:p w14:paraId="33B2BE2E">
      <w:pPr>
        <w:spacing w:line="480" w:lineRule="auto"/>
        <w:rPr>
          <w:rFonts w:hint="eastAsia" w:ascii="Times New Roman" w:hAnsi="Times New Roman" w:cs="Times New Roman"/>
          <w:i w:val="0"/>
          <w:iCs w:val="0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i w:val="0"/>
          <w:iCs w:val="0"/>
          <w:sz w:val="24"/>
          <w:szCs w:val="24"/>
          <w:lang w:val="en-US" w:eastAsia="zh-CN"/>
        </w:rPr>
        <w:t>Jilin Provincial Key Laboratory of Tooth Development and Bone Remodeling, Hospital of Stomatology, Jilin University, Changchun, 130021, China.</w:t>
      </w:r>
    </w:p>
    <w:p w14:paraId="1A8E9FA1">
      <w:pPr>
        <w:spacing w:line="360" w:lineRule="auto"/>
        <w:rPr>
          <w:rFonts w:hint="eastAsia" w:eastAsia="宋体"/>
          <w:lang w:val="en-US" w:eastAsia="zh-CN"/>
        </w:rPr>
      </w:pPr>
    </w:p>
    <w:p w14:paraId="2621FD41">
      <w:pPr>
        <w:spacing w:line="360" w:lineRule="auto"/>
        <w:rPr>
          <w:rFonts w:hint="default" w:eastAsia="宋体"/>
          <w:b/>
          <w:bCs/>
          <w:lang w:val="en-US" w:eastAsia="zh-CN"/>
        </w:rPr>
      </w:pPr>
      <w:r>
        <w:rPr>
          <w:rFonts w:hint="eastAsia" w:eastAsia="宋体"/>
          <w:b/>
          <w:bCs/>
          <w:lang w:val="en-US" w:eastAsia="zh-CN"/>
        </w:rPr>
        <w:t>Corresponding Authors:</w:t>
      </w:r>
    </w:p>
    <w:p w14:paraId="266189FE">
      <w:pPr>
        <w:pStyle w:val="30"/>
        <w:spacing w:line="480" w:lineRule="auto"/>
        <w:rPr>
          <w:rFonts w:hint="default" w:eastAsia="宋体"/>
          <w:lang w:val="en-US" w:eastAsia="zh-CN"/>
        </w:rPr>
      </w:pPr>
      <w:r>
        <w:rPr>
          <w:rFonts w:hint="eastAsia" w:eastAsia="宋体"/>
          <w:lang w:val="en-US" w:eastAsia="zh-CN"/>
        </w:rPr>
        <w:t xml:space="preserve">*Jingjie Zhai, </w:t>
      </w:r>
      <w:r>
        <w:rPr>
          <w:lang w:val="de-DE"/>
        </w:rPr>
        <w:t xml:space="preserve">E-mail: </w:t>
      </w:r>
      <w:r>
        <w:rPr>
          <w:rFonts w:hint="eastAsia" w:eastAsia="宋体"/>
          <w:lang w:val="en-US" w:eastAsia="zh-CN"/>
        </w:rPr>
        <w:t>zhaijingjie@jlu.edu.cn</w:t>
      </w:r>
    </w:p>
    <w:p w14:paraId="3E9E49B3">
      <w:pPr>
        <w:pStyle w:val="30"/>
        <w:spacing w:line="480" w:lineRule="auto"/>
        <w:rPr>
          <w:rFonts w:hint="default" w:eastAsia="宋体"/>
          <w:lang w:val="en-US" w:eastAsia="zh-CN"/>
        </w:rPr>
      </w:pPr>
      <w:r>
        <w:rPr>
          <w:rFonts w:hint="eastAsia" w:eastAsia="宋体"/>
          <w:lang w:val="en-US" w:eastAsia="zh-CN"/>
        </w:rPr>
        <w:t xml:space="preserve">*Yanmin Zhou, </w:t>
      </w:r>
      <w:r>
        <w:rPr>
          <w:lang w:val="de-DE"/>
        </w:rPr>
        <w:t>E-mail:</w:t>
      </w:r>
      <w:r>
        <w:rPr>
          <w:rFonts w:hint="eastAsia" w:eastAsia="宋体"/>
          <w:lang w:val="en-US" w:eastAsia="zh-CN"/>
        </w:rPr>
        <w:t xml:space="preserve"> zhouym@jlu.edu.cn</w:t>
      </w:r>
    </w:p>
    <w:p w14:paraId="133BFCA2">
      <w:pPr>
        <w:pStyle w:val="30"/>
        <w:spacing w:line="480" w:lineRule="auto"/>
        <w:rPr>
          <w:rFonts w:hint="default" w:eastAsia="宋体"/>
          <w:b/>
          <w:bCs/>
          <w:lang w:val="en-US" w:eastAsia="zh-CN"/>
        </w:rPr>
      </w:pPr>
      <w:r>
        <w:rPr>
          <w:rFonts w:hint="eastAsia" w:eastAsia="宋体"/>
          <w:b/>
          <w:bCs/>
          <w:lang w:val="en-US" w:eastAsia="zh-CN"/>
        </w:rPr>
        <w:t>†These authors contributed equally to this work.</w:t>
      </w:r>
    </w:p>
    <w:p w14:paraId="7A5FE98D">
      <w:pPr>
        <w:spacing w:line="360" w:lineRule="auto"/>
        <w:rPr>
          <w:rFonts w:hint="default" w:eastAsia="宋体"/>
          <w:lang w:val="en-US" w:eastAsia="zh-CN"/>
        </w:rPr>
      </w:pPr>
    </w:p>
    <w:p w14:paraId="4B9241D2">
      <w:pPr>
        <w:spacing w:line="360" w:lineRule="auto"/>
        <w:rPr>
          <w:b/>
          <w:lang w:val="en-US"/>
        </w:rPr>
      </w:pPr>
    </w:p>
    <w:p w14:paraId="5CBF3B72">
      <w:pPr>
        <w:pStyle w:val="43"/>
        <w:spacing w:line="360" w:lineRule="auto"/>
        <w:rPr>
          <w:b w:val="0"/>
        </w:rPr>
      </w:pPr>
    </w:p>
    <w:p w14:paraId="479F45B1">
      <w:pPr>
        <w:spacing w:line="360" w:lineRule="auto"/>
        <w:rPr>
          <w:lang w:val="en-US"/>
        </w:rPr>
      </w:pPr>
    </w:p>
    <w:p w14:paraId="65C2E6D9">
      <w:pPr>
        <w:spacing w:line="360" w:lineRule="auto"/>
        <w:rPr>
          <w:lang w:val="en-US"/>
        </w:rPr>
      </w:pPr>
    </w:p>
    <w:p w14:paraId="6C0C7E80">
      <w:pPr>
        <w:spacing w:line="360" w:lineRule="auto"/>
        <w:rPr>
          <w:lang w:val="en-US"/>
        </w:rPr>
      </w:pPr>
    </w:p>
    <w:p w14:paraId="4F3D474D">
      <w:pPr>
        <w:spacing w:line="360" w:lineRule="auto"/>
        <w:rPr>
          <w:lang w:val="en-US"/>
        </w:rPr>
      </w:pPr>
    </w:p>
    <w:p w14:paraId="31B78153">
      <w:pPr>
        <w:spacing w:line="360" w:lineRule="auto"/>
        <w:rPr>
          <w:lang w:val="en-US"/>
        </w:rPr>
      </w:pPr>
    </w:p>
    <w:p w14:paraId="239148A2">
      <w:pPr>
        <w:spacing w:line="360" w:lineRule="auto"/>
        <w:rPr>
          <w:lang w:val="en-US"/>
        </w:rPr>
      </w:pPr>
    </w:p>
    <w:p w14:paraId="711913BF">
      <w:pPr>
        <w:spacing w:line="360" w:lineRule="auto"/>
        <w:rPr>
          <w:lang w:val="en-US"/>
        </w:rPr>
      </w:pPr>
    </w:p>
    <w:p w14:paraId="2F93DA75">
      <w:pPr>
        <w:spacing w:line="360" w:lineRule="auto"/>
        <w:rPr>
          <w:lang w:val="en-US"/>
        </w:rPr>
      </w:pPr>
    </w:p>
    <w:p w14:paraId="6637F531">
      <w:pPr>
        <w:spacing w:line="360" w:lineRule="auto"/>
        <w:rPr>
          <w:lang w:val="en-US"/>
        </w:rPr>
      </w:pPr>
    </w:p>
    <w:p w14:paraId="7508BB30">
      <w:pPr>
        <w:spacing w:line="360" w:lineRule="auto"/>
        <w:rPr>
          <w:lang w:val="en-US"/>
        </w:rPr>
      </w:pPr>
    </w:p>
    <w:p w14:paraId="0B6FC3EB">
      <w:pPr>
        <w:spacing w:line="360" w:lineRule="auto"/>
        <w:rPr>
          <w:lang w:val="en-US"/>
        </w:rPr>
      </w:pPr>
    </w:p>
    <w:p w14:paraId="3CC17F11">
      <w:pPr>
        <w:spacing w:line="360" w:lineRule="auto"/>
        <w:rPr>
          <w:lang w:val="en-US"/>
        </w:rPr>
      </w:pPr>
    </w:p>
    <w:p w14:paraId="3286232C">
      <w:pPr>
        <w:spacing w:line="360" w:lineRule="auto"/>
        <w:rPr>
          <w:lang w:val="en-US"/>
        </w:rPr>
      </w:pPr>
    </w:p>
    <w:p w14:paraId="51722BEA">
      <w:pPr>
        <w:spacing w:line="360" w:lineRule="auto"/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756910" cy="2141855"/>
            <wp:effectExtent l="0" t="0" r="5715" b="1270"/>
            <wp:docPr id="1" name="图片 1" descr="SI图_0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SI图_01(1)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141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4B7B0">
      <w:pPr>
        <w:spacing w:line="360" w:lineRule="auto"/>
        <w:rPr>
          <w:rFonts w:hint="default" w:ascii="Times New Roman" w:hAnsi="Times New Roman" w:eastAsia="宋体" w:cs="Times New Roman"/>
          <w:b/>
          <w:bCs/>
          <w:sz w:val="22"/>
          <w:szCs w:val="22"/>
          <w:lang w:val="en-US" w:eastAsia="zh-CN"/>
        </w:rPr>
      </w:pPr>
    </w:p>
    <w:p w14:paraId="32F5570A">
      <w:pPr>
        <w:spacing w:line="360" w:lineRule="auto"/>
        <w:rPr>
          <w:rFonts w:hint="eastAsia" w:eastAsia="宋体"/>
          <w:lang w:val="en-US" w:eastAsia="zh-CN"/>
        </w:rPr>
      </w:pPr>
      <w:r>
        <w:rPr>
          <w:rFonts w:hint="default" w:ascii="Times New Roman" w:hAnsi="Times New Roman" w:eastAsia="宋体" w:cs="Times New Roman"/>
          <w:b/>
          <w:bCs/>
          <w:sz w:val="22"/>
          <w:szCs w:val="22"/>
          <w:lang w:val="en-US" w:eastAsia="zh-CN"/>
        </w:rPr>
        <w:t>Fig</w:t>
      </w:r>
      <w:r>
        <w:rPr>
          <w:rFonts w:hint="eastAsia" w:eastAsia="宋体" w:cs="Times New Roman"/>
          <w:b/>
          <w:bCs/>
          <w:sz w:val="22"/>
          <w:szCs w:val="22"/>
          <w:lang w:val="en-US" w:eastAsia="zh-CN"/>
        </w:rPr>
        <w:t>.</w:t>
      </w:r>
      <w:r>
        <w:rPr>
          <w:rFonts w:hint="default" w:ascii="Times New Roman" w:hAnsi="Times New Roman" w:eastAsia="宋体" w:cs="Times New Roman"/>
          <w:b/>
          <w:bCs/>
          <w:sz w:val="22"/>
          <w:szCs w:val="22"/>
          <w:lang w:val="en-US" w:eastAsia="zh-CN"/>
        </w:rPr>
        <w:t xml:space="preserve"> S1.</w:t>
      </w:r>
      <w:r>
        <w:rPr>
          <w:rFonts w:hint="default" w:ascii="Times New Roman" w:hAnsi="Times New Roman" w:eastAsia="宋体" w:cs="Times New Roman"/>
          <w:sz w:val="22"/>
          <w:szCs w:val="22"/>
          <w:lang w:val="en-US" w:eastAsia="zh-CN"/>
        </w:rPr>
        <w:t xml:space="preserve"> Characterization of stem cell properties in PMSCs. </w:t>
      </w:r>
      <w:r>
        <w:rPr>
          <w:rFonts w:hint="eastAsia" w:eastAsia="宋体" w:cs="Times New Roman"/>
          <w:sz w:val="22"/>
          <w:szCs w:val="22"/>
          <w:lang w:val="en-US" w:eastAsia="zh-CN"/>
        </w:rPr>
        <w:t>(</w:t>
      </w:r>
      <w:r>
        <w:rPr>
          <w:rFonts w:hint="default" w:ascii="Times New Roman" w:hAnsi="Times New Roman" w:eastAsia="宋体" w:cs="Times New Roman"/>
          <w:sz w:val="22"/>
          <w:szCs w:val="22"/>
          <w:lang w:val="en-US" w:eastAsia="zh-CN"/>
        </w:rPr>
        <w:t>a) Flow cytometry analysis showing that LMSCs were positive for CD73 (99.9%), CD90 (99.</w:t>
      </w:r>
      <w:r>
        <w:rPr>
          <w:rFonts w:hint="eastAsia" w:eastAsia="宋体" w:cs="Times New Roman"/>
          <w:sz w:val="22"/>
          <w:szCs w:val="22"/>
          <w:lang w:val="en-US" w:eastAsia="zh-CN"/>
        </w:rPr>
        <w:t>0</w:t>
      </w:r>
      <w:r>
        <w:rPr>
          <w:rFonts w:hint="default" w:ascii="Times New Roman" w:hAnsi="Times New Roman" w:eastAsia="宋体" w:cs="Times New Roman"/>
          <w:sz w:val="22"/>
          <w:szCs w:val="22"/>
          <w:lang w:val="en-US" w:eastAsia="zh-CN"/>
        </w:rPr>
        <w:t xml:space="preserve">%), and CD105 (98.2%), while negative for CD34 (0.029%), CD45 (0.020%), and HLA-DR (0.020%). </w:t>
      </w:r>
      <w:r>
        <w:rPr>
          <w:rFonts w:hint="eastAsia" w:eastAsia="宋体" w:cs="Times New Roman"/>
          <w:sz w:val="22"/>
          <w:szCs w:val="22"/>
          <w:lang w:val="en-US" w:eastAsia="zh-CN"/>
        </w:rPr>
        <w:t>(</w:t>
      </w:r>
      <w:r>
        <w:rPr>
          <w:rFonts w:hint="default" w:ascii="Times New Roman" w:hAnsi="Times New Roman" w:eastAsia="宋体" w:cs="Times New Roman"/>
          <w:sz w:val="22"/>
          <w:szCs w:val="22"/>
          <w:lang w:val="en-US" w:eastAsia="zh-CN"/>
        </w:rPr>
        <w:t>b) Evaluation of the trilineage differentiation potential of PMSCs</w:t>
      </w:r>
      <w:r>
        <w:rPr>
          <w:rFonts w:hint="eastAsia" w:eastAsia="宋体"/>
          <w:lang w:val="en-US" w:eastAsia="zh-CN"/>
        </w:rPr>
        <w:t>.</w:t>
      </w:r>
    </w:p>
    <w:p w14:paraId="1D562B15">
      <w:pPr>
        <w:spacing w:line="360" w:lineRule="auto"/>
        <w:rPr>
          <w:rFonts w:hint="eastAsia" w:eastAsia="宋体"/>
          <w:lang w:val="en-US" w:eastAsia="zh-CN"/>
        </w:rPr>
      </w:pPr>
    </w:p>
    <w:p w14:paraId="4BBEC730">
      <w:pPr>
        <w:spacing w:line="360" w:lineRule="auto"/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755640" cy="2150745"/>
            <wp:effectExtent l="0" t="0" r="6985" b="1905"/>
            <wp:docPr id="3" name="图片 3" descr="SI图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SI图_0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2150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652DE">
      <w:pPr>
        <w:spacing w:line="360" w:lineRule="auto"/>
        <w:rPr>
          <w:rFonts w:hint="eastAsia" w:eastAsia="宋体"/>
          <w:lang w:val="en-US" w:eastAsia="zh-CN"/>
        </w:rPr>
      </w:pPr>
    </w:p>
    <w:p w14:paraId="5C025134">
      <w:pPr>
        <w:spacing w:line="360" w:lineRule="auto"/>
        <w:rPr>
          <w:rFonts w:hint="eastAsia" w:ascii="Times New Roman" w:hAnsi="Times New Roman" w:eastAsia="宋体" w:cs="Times New Roman"/>
          <w:sz w:val="22"/>
          <w:szCs w:val="22"/>
          <w:lang w:val="en-US" w:eastAsia="zh-CN"/>
        </w:rPr>
        <w:sectPr>
          <w:headerReference r:id="rId3" w:type="default"/>
          <w:footerReference r:id="rId4" w:type="default"/>
          <w:pgSz w:w="11906" w:h="16838"/>
          <w:pgMar w:top="1417" w:right="1417" w:bottom="1134" w:left="1417" w:header="708" w:footer="708" w:gutter="0"/>
          <w:cols w:space="708" w:num="1"/>
          <w:docGrid w:linePitch="360" w:charSpace="0"/>
        </w:sectPr>
      </w:pPr>
      <w:r>
        <w:rPr>
          <w:rFonts w:hint="eastAsia" w:ascii="Times New Roman" w:hAnsi="Times New Roman" w:eastAsia="宋体" w:cs="Times New Roman"/>
          <w:b/>
          <w:bCs/>
          <w:sz w:val="22"/>
          <w:szCs w:val="22"/>
          <w:lang w:val="en-US" w:eastAsia="zh-CN"/>
        </w:rPr>
        <w:t>Fig</w:t>
      </w:r>
      <w:r>
        <w:rPr>
          <w:rFonts w:hint="eastAsia" w:eastAsia="宋体" w:cs="Times New Roman"/>
          <w:b/>
          <w:bCs/>
          <w:sz w:val="22"/>
          <w:szCs w:val="22"/>
          <w:lang w:val="en-US" w:eastAsia="zh-CN"/>
        </w:rPr>
        <w:t>.</w:t>
      </w:r>
      <w:r>
        <w:rPr>
          <w:rFonts w:hint="eastAsia" w:ascii="Times New Roman" w:hAnsi="Times New Roman" w:eastAsia="宋体" w:cs="Times New Roman"/>
          <w:b/>
          <w:bCs/>
          <w:sz w:val="22"/>
          <w:szCs w:val="22"/>
          <w:lang w:val="en-US" w:eastAsia="zh-CN"/>
        </w:rPr>
        <w:t xml:space="preserve"> S2.</w:t>
      </w:r>
      <w:r>
        <w:rPr>
          <w:rFonts w:hint="eastAsia" w:ascii="Times New Roman" w:hAnsi="Times New Roman" w:eastAsia="宋体" w:cs="Times New Roman"/>
          <w:sz w:val="22"/>
          <w:szCs w:val="22"/>
          <w:lang w:val="en-US" w:eastAsia="zh-CN"/>
        </w:rPr>
        <w:t xml:space="preserve"> Characterization of stem cell properties in LMSCs. </w:t>
      </w:r>
      <w:r>
        <w:rPr>
          <w:rFonts w:hint="eastAsia" w:eastAsia="宋体" w:cs="Times New Roman"/>
          <w:sz w:val="22"/>
          <w:szCs w:val="22"/>
          <w:lang w:val="en-US" w:eastAsia="zh-CN"/>
        </w:rPr>
        <w:t>(a</w:t>
      </w:r>
      <w:r>
        <w:rPr>
          <w:rFonts w:hint="eastAsia" w:ascii="Times New Roman" w:hAnsi="Times New Roman" w:eastAsia="宋体" w:cs="Times New Roman"/>
          <w:sz w:val="22"/>
          <w:szCs w:val="22"/>
          <w:lang w:val="en-US" w:eastAsia="zh-CN"/>
        </w:rPr>
        <w:t xml:space="preserve">) Flow cytometry analysis demonstrating that LMSCs were positive for CD73 (99.9%), CD90 (99.9%), and CD105 (99.9%), while negative for CD34 (0.032%), CD45 (0.011%), and HLA-DR (0.011%). </w:t>
      </w:r>
      <w:r>
        <w:rPr>
          <w:rFonts w:hint="eastAsia" w:eastAsia="宋体" w:cs="Times New Roman"/>
          <w:sz w:val="22"/>
          <w:szCs w:val="22"/>
          <w:lang w:val="en-US" w:eastAsia="zh-CN"/>
        </w:rPr>
        <w:t>(b</w:t>
      </w:r>
      <w:r>
        <w:rPr>
          <w:rFonts w:hint="eastAsia" w:ascii="Times New Roman" w:hAnsi="Times New Roman" w:eastAsia="宋体" w:cs="Times New Roman"/>
          <w:sz w:val="22"/>
          <w:szCs w:val="22"/>
          <w:lang w:val="en-US" w:eastAsia="zh-CN"/>
        </w:rPr>
        <w:t>) Assessment of the trilineage differentiation potential of LMSCs.</w:t>
      </w:r>
    </w:p>
    <w:p w14:paraId="2D268298">
      <w:pPr>
        <w:spacing w:line="360" w:lineRule="auto"/>
        <w:rPr>
          <w:rFonts w:hint="eastAsia" w:ascii="Times New Roman" w:hAnsi="Times New Roman" w:eastAsia="宋体" w:cs="Times New Roman"/>
          <w:sz w:val="22"/>
          <w:szCs w:val="22"/>
          <w:lang w:val="en-US" w:eastAsia="zh-CN"/>
        </w:rPr>
      </w:pPr>
      <w:r>
        <w:rPr>
          <w:rFonts w:hint="eastAsia" w:ascii="Times New Roman" w:hAnsi="Times New Roman" w:eastAsia="宋体" w:cs="Times New Roman"/>
          <w:sz w:val="22"/>
          <w:szCs w:val="22"/>
          <w:lang w:val="en-US" w:eastAsia="zh-CN"/>
        </w:rPr>
        <w:drawing>
          <wp:inline distT="0" distB="0" distL="114300" distR="114300">
            <wp:extent cx="5754370" cy="3237230"/>
            <wp:effectExtent l="0" t="0" r="8255" b="1270"/>
            <wp:docPr id="4" name="图片 4" descr="SI图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SI图_0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54370" cy="3237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57381">
      <w:pPr>
        <w:spacing w:line="360" w:lineRule="auto"/>
        <w:rPr>
          <w:rFonts w:hint="eastAsia" w:ascii="Times New Roman" w:hAnsi="Times New Roman" w:eastAsia="宋体" w:cs="Times New Roman"/>
          <w:sz w:val="22"/>
          <w:szCs w:val="22"/>
          <w:lang w:val="en-US" w:eastAsia="zh-CN"/>
        </w:rPr>
      </w:pPr>
    </w:p>
    <w:p w14:paraId="50576237">
      <w:pPr>
        <w:spacing w:line="360" w:lineRule="auto"/>
        <w:rPr>
          <w:rFonts w:hint="eastAsia" w:ascii="Times New Roman" w:hAnsi="Times New Roman" w:eastAsia="宋体" w:cs="Times New Roman"/>
          <w:sz w:val="22"/>
          <w:szCs w:val="22"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bCs/>
          <w:sz w:val="22"/>
          <w:szCs w:val="22"/>
          <w:lang w:val="en-US" w:eastAsia="zh-CN"/>
        </w:rPr>
        <w:t>Fig</w:t>
      </w:r>
      <w:r>
        <w:rPr>
          <w:rFonts w:hint="eastAsia" w:eastAsia="宋体" w:cs="Times New Roman"/>
          <w:b/>
          <w:bCs/>
          <w:sz w:val="22"/>
          <w:szCs w:val="22"/>
          <w:lang w:val="en-US" w:eastAsia="zh-CN"/>
        </w:rPr>
        <w:t>.</w:t>
      </w:r>
      <w:r>
        <w:rPr>
          <w:rFonts w:hint="eastAsia" w:ascii="Times New Roman" w:hAnsi="Times New Roman" w:eastAsia="宋体" w:cs="Times New Roman"/>
          <w:b/>
          <w:bCs/>
          <w:sz w:val="22"/>
          <w:szCs w:val="22"/>
          <w:lang w:val="en-US" w:eastAsia="zh-CN"/>
        </w:rPr>
        <w:t xml:space="preserve"> S3.</w:t>
      </w:r>
      <w:r>
        <w:rPr>
          <w:rFonts w:hint="eastAsia" w:ascii="Times New Roman" w:hAnsi="Times New Roman" w:eastAsia="宋体" w:cs="Times New Roman"/>
          <w:sz w:val="22"/>
          <w:szCs w:val="22"/>
          <w:lang w:val="en-US" w:eastAsia="zh-CN"/>
        </w:rPr>
        <w:t xml:space="preserve"> Functional assessment of PMSCs-derived exosomes. </w:t>
      </w:r>
      <w:r>
        <w:rPr>
          <w:rFonts w:hint="eastAsia" w:eastAsia="宋体" w:cs="Times New Roman"/>
          <w:sz w:val="22"/>
          <w:szCs w:val="22"/>
          <w:lang w:val="en-US" w:eastAsia="zh-CN"/>
        </w:rPr>
        <w:t>(a,b</w:t>
      </w:r>
      <w:r>
        <w:rPr>
          <w:rFonts w:hint="eastAsia" w:ascii="Times New Roman" w:hAnsi="Times New Roman" w:eastAsia="宋体" w:cs="Times New Roman"/>
          <w:sz w:val="22"/>
          <w:szCs w:val="22"/>
          <w:lang w:val="en-US" w:eastAsia="zh-CN"/>
        </w:rPr>
        <w:t xml:space="preserve">) Transwell migration assay evaluating the migratory effects of C-exos and O-exos on LMSCs, with quantitative analysis. </w:t>
      </w:r>
      <w:r>
        <w:rPr>
          <w:rFonts w:hint="eastAsia" w:eastAsia="宋体" w:cs="Times New Roman"/>
          <w:sz w:val="22"/>
          <w:szCs w:val="22"/>
          <w:lang w:val="en-US" w:eastAsia="zh-CN"/>
        </w:rPr>
        <w:t>(c</w:t>
      </w:r>
      <w:r>
        <w:rPr>
          <w:rFonts w:hint="eastAsia" w:ascii="Times New Roman" w:hAnsi="Times New Roman" w:eastAsia="宋体" w:cs="Times New Roman"/>
          <w:sz w:val="22"/>
          <w:szCs w:val="22"/>
          <w:lang w:val="en-US" w:eastAsia="zh-CN"/>
        </w:rPr>
        <w:t>) RT-qPCR analysis of osteogenesis-related mRNA and stemness-associated mRNA expression levels in LMSCs.</w:t>
      </w:r>
    </w:p>
    <w:p w14:paraId="0BEFAB44">
      <w:pPr>
        <w:spacing w:line="360" w:lineRule="auto"/>
        <w:rPr>
          <w:rFonts w:hint="eastAsia" w:ascii="Times New Roman" w:hAnsi="Times New Roman" w:eastAsia="宋体" w:cs="Times New Roman"/>
          <w:sz w:val="22"/>
          <w:szCs w:val="22"/>
          <w:lang w:val="en-US" w:eastAsia="zh-CN"/>
        </w:rPr>
      </w:pPr>
    </w:p>
    <w:p w14:paraId="7C5D5C4E">
      <w:pPr>
        <w:spacing w:line="360" w:lineRule="auto"/>
        <w:jc w:val="center"/>
        <w:rPr>
          <w:rFonts w:hint="eastAsia" w:ascii="Times New Roman" w:hAnsi="Times New Roman" w:eastAsia="宋体" w:cs="Times New Roman"/>
          <w:sz w:val="22"/>
          <w:szCs w:val="22"/>
          <w:lang w:val="en-US" w:eastAsia="zh-CN"/>
        </w:rPr>
      </w:pPr>
      <w:r>
        <w:rPr>
          <w:rFonts w:hint="eastAsia" w:ascii="Times New Roman" w:hAnsi="Times New Roman" w:eastAsia="宋体" w:cs="Times New Roman"/>
          <w:sz w:val="22"/>
          <w:szCs w:val="22"/>
          <w:lang w:val="en-US" w:eastAsia="zh-CN"/>
        </w:rPr>
        <w:drawing>
          <wp:inline distT="0" distB="0" distL="114300" distR="114300">
            <wp:extent cx="4085590" cy="3239770"/>
            <wp:effectExtent l="0" t="0" r="635" b="8255"/>
            <wp:docPr id="5" name="图片 5" descr="SI图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SI图_0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08559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6CC38">
      <w:pPr>
        <w:spacing w:line="360" w:lineRule="auto"/>
        <w:jc w:val="left"/>
        <w:rPr>
          <w:rFonts w:hint="eastAsia" w:ascii="Times New Roman" w:hAnsi="Times New Roman" w:eastAsia="宋体" w:cs="Times New Roman"/>
          <w:sz w:val="22"/>
          <w:szCs w:val="22"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bCs/>
          <w:sz w:val="22"/>
          <w:szCs w:val="22"/>
          <w:lang w:val="en-US" w:eastAsia="zh-CN"/>
        </w:rPr>
        <w:t>Fig</w:t>
      </w:r>
      <w:r>
        <w:rPr>
          <w:rFonts w:hint="eastAsia" w:eastAsia="宋体" w:cs="Times New Roman"/>
          <w:b/>
          <w:bCs/>
          <w:sz w:val="22"/>
          <w:szCs w:val="22"/>
          <w:lang w:val="en-US" w:eastAsia="zh-CN"/>
        </w:rPr>
        <w:t>.</w:t>
      </w:r>
      <w:r>
        <w:rPr>
          <w:rFonts w:hint="eastAsia" w:ascii="Times New Roman" w:hAnsi="Times New Roman" w:eastAsia="宋体" w:cs="Times New Roman"/>
          <w:b/>
          <w:bCs/>
          <w:sz w:val="22"/>
          <w:szCs w:val="22"/>
          <w:lang w:val="en-US" w:eastAsia="zh-CN"/>
        </w:rPr>
        <w:t xml:space="preserve"> S4.</w:t>
      </w:r>
      <w:r>
        <w:rPr>
          <w:rFonts w:hint="eastAsia" w:ascii="Times New Roman" w:hAnsi="Times New Roman" w:eastAsia="宋体" w:cs="Times New Roman"/>
          <w:sz w:val="22"/>
          <w:szCs w:val="22"/>
          <w:lang w:val="en-US" w:eastAsia="zh-CN"/>
        </w:rPr>
        <w:t xml:space="preserve"> The functional groups and covalent bond formation in GMs and GMs</w:t>
      </w:r>
      <w:r>
        <w:rPr>
          <w:rFonts w:hint="eastAsia" w:ascii="Times New Roman" w:hAnsi="Times New Roman" w:eastAsia="宋体" w:cs="Times New Roman"/>
          <w:sz w:val="22"/>
          <w:szCs w:val="22"/>
          <w:vertAlign w:val="superscript"/>
          <w:lang w:val="en-US" w:eastAsia="zh-CN"/>
        </w:rPr>
        <w:t>C-exos</w:t>
      </w:r>
      <w:r>
        <w:rPr>
          <w:rFonts w:hint="eastAsia" w:ascii="Times New Roman" w:hAnsi="Times New Roman" w:eastAsia="宋体" w:cs="Times New Roman"/>
          <w:sz w:val="22"/>
          <w:szCs w:val="22"/>
          <w:lang w:val="en-US" w:eastAsia="zh-CN"/>
        </w:rPr>
        <w:t xml:space="preserve"> were assessed by FTIR.</w:t>
      </w:r>
    </w:p>
    <w:p w14:paraId="7F923102">
      <w:pPr>
        <w:spacing w:line="360" w:lineRule="auto"/>
        <w:jc w:val="center"/>
        <w:rPr>
          <w:rFonts w:hint="eastAsia" w:ascii="Times New Roman" w:hAnsi="Times New Roman" w:eastAsia="宋体" w:cs="Times New Roman"/>
          <w:sz w:val="22"/>
          <w:szCs w:val="22"/>
          <w:lang w:val="en-US" w:eastAsia="zh-CN"/>
        </w:rPr>
      </w:pPr>
    </w:p>
    <w:p w14:paraId="721C0C4A">
      <w:pPr>
        <w:spacing w:line="360" w:lineRule="auto"/>
        <w:jc w:val="both"/>
        <w:rPr>
          <w:rFonts w:hint="eastAsia" w:ascii="Times New Roman" w:hAnsi="Times New Roman" w:eastAsia="宋体" w:cs="Times New Roman"/>
          <w:sz w:val="22"/>
          <w:szCs w:val="22"/>
          <w:lang w:val="en-US" w:eastAsia="zh-CN"/>
        </w:rPr>
        <w:sectPr>
          <w:pgSz w:w="11906" w:h="16838"/>
          <w:pgMar w:top="1417" w:right="1417" w:bottom="1134" w:left="1417" w:header="708" w:footer="708" w:gutter="0"/>
          <w:cols w:space="708" w:num="1"/>
          <w:docGrid w:linePitch="360" w:charSpace="0"/>
        </w:sectPr>
      </w:pPr>
    </w:p>
    <w:p w14:paraId="40299EA7">
      <w:pPr>
        <w:spacing w:line="360" w:lineRule="auto"/>
        <w:rPr>
          <w:rFonts w:hint="eastAsia" w:ascii="Times New Roman" w:hAnsi="Times New Roman" w:eastAsia="宋体" w:cs="Times New Roman"/>
          <w:sz w:val="22"/>
          <w:szCs w:val="22"/>
          <w:lang w:val="en-US" w:eastAsia="zh-CN"/>
        </w:rPr>
      </w:pPr>
    </w:p>
    <w:p w14:paraId="6620A93A">
      <w:pPr>
        <w:spacing w:line="360" w:lineRule="auto"/>
        <w:jc w:val="center"/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4467860" cy="3239770"/>
            <wp:effectExtent l="0" t="0" r="8890" b="8255"/>
            <wp:docPr id="6" name="图片 6" descr="SI图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SI图_0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46786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8FF09">
      <w:pPr>
        <w:spacing w:line="360" w:lineRule="auto"/>
        <w:jc w:val="center"/>
        <w:rPr>
          <w:rFonts w:hint="eastAsia" w:eastAsia="宋体"/>
          <w:lang w:val="en-US" w:eastAsia="zh-CN"/>
        </w:rPr>
      </w:pPr>
      <w:r>
        <w:rPr>
          <w:rFonts w:hint="eastAsia" w:eastAsia="宋体"/>
          <w:b/>
          <w:bCs/>
          <w:lang w:val="en-US" w:eastAsia="zh-CN"/>
        </w:rPr>
        <w:t>Fig. S5.</w:t>
      </w:r>
      <w:r>
        <w:rPr>
          <w:rFonts w:hint="eastAsia" w:eastAsia="宋体"/>
          <w:lang w:val="en-US" w:eastAsia="zh-CN"/>
        </w:rPr>
        <w:t xml:space="preserve"> Cumulative release profile of exosomes from GMs</w:t>
      </w:r>
      <w:r>
        <w:rPr>
          <w:rFonts w:hint="eastAsia" w:eastAsia="宋体"/>
          <w:vertAlign w:val="superscript"/>
          <w:lang w:val="en-US" w:eastAsia="zh-CN"/>
        </w:rPr>
        <w:t>C-exos</w:t>
      </w:r>
      <w:r>
        <w:rPr>
          <w:rFonts w:hint="eastAsia" w:eastAsia="宋体"/>
          <w:lang w:val="en-US" w:eastAsia="zh-CN"/>
        </w:rPr>
        <w:t>FMs</w:t>
      </w:r>
      <w:r>
        <w:rPr>
          <w:rFonts w:hint="eastAsia" w:eastAsia="宋体"/>
          <w:vertAlign w:val="superscript"/>
          <w:lang w:val="en-US" w:eastAsia="zh-CN"/>
        </w:rPr>
        <w:t>O-exos</w:t>
      </w:r>
      <w:r>
        <w:rPr>
          <w:rFonts w:hint="eastAsia" w:eastAsia="宋体"/>
          <w:lang w:val="en-US" w:eastAsia="zh-CN"/>
        </w:rPr>
        <w:t xml:space="preserve"> over 28 days.</w:t>
      </w:r>
    </w:p>
    <w:p w14:paraId="0B83A090">
      <w:pPr>
        <w:spacing w:line="360" w:lineRule="auto"/>
        <w:jc w:val="left"/>
        <w:rPr>
          <w:rFonts w:hint="default" w:eastAsia="宋体"/>
          <w:lang w:val="en-US" w:eastAsia="zh-CN"/>
        </w:rPr>
      </w:pPr>
    </w:p>
    <w:p w14:paraId="41830BFE">
      <w:pPr>
        <w:spacing w:line="360" w:lineRule="auto"/>
        <w:jc w:val="center"/>
        <w:rPr>
          <w:rFonts w:hint="eastAsia" w:eastAsia="宋体"/>
          <w:lang w:val="en-US" w:eastAsia="zh-CN"/>
        </w:rPr>
      </w:pPr>
    </w:p>
    <w:p w14:paraId="3AFCFC19">
      <w:pPr>
        <w:spacing w:line="360" w:lineRule="auto"/>
        <w:jc w:val="both"/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6085205" cy="3239770"/>
            <wp:effectExtent l="0" t="0" r="1270" b="8255"/>
            <wp:docPr id="7" name="图片 7" descr="SI图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SI图_0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8520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7D0FE2">
      <w:pPr>
        <w:spacing w:line="360" w:lineRule="auto"/>
        <w:jc w:val="both"/>
        <w:rPr>
          <w:rFonts w:hint="eastAsia" w:eastAsia="宋体"/>
          <w:lang w:val="en-US" w:eastAsia="zh-CN"/>
        </w:rPr>
      </w:pPr>
      <w:r>
        <w:rPr>
          <w:rFonts w:hint="eastAsia" w:eastAsia="宋体"/>
          <w:b/>
          <w:bCs/>
          <w:lang w:val="en-US" w:eastAsia="zh-CN"/>
        </w:rPr>
        <w:t>Fig. S6.</w:t>
      </w:r>
      <w:r>
        <w:rPr>
          <w:rFonts w:hint="eastAsia" w:eastAsia="宋体"/>
          <w:lang w:val="en-US" w:eastAsia="zh-CN"/>
        </w:rPr>
        <w:t xml:space="preserve"> CCK-8 evaluating the viability and proliferation of LMSCs co-cultured with nested microspheres at days 1, 3, and 7.</w:t>
      </w:r>
    </w:p>
    <w:p w14:paraId="0F36C80F">
      <w:pPr>
        <w:spacing w:line="360" w:lineRule="auto"/>
        <w:jc w:val="both"/>
        <w:rPr>
          <w:rFonts w:hint="eastAsia" w:eastAsia="宋体"/>
          <w:lang w:val="en-US" w:eastAsia="zh-CN"/>
        </w:rPr>
        <w:sectPr>
          <w:pgSz w:w="11906" w:h="16838"/>
          <w:pgMar w:top="1417" w:right="1417" w:bottom="1134" w:left="1417" w:header="708" w:footer="708" w:gutter="0"/>
          <w:cols w:space="708" w:num="1"/>
          <w:docGrid w:linePitch="360" w:charSpace="0"/>
        </w:sectPr>
      </w:pPr>
    </w:p>
    <w:p w14:paraId="42522C29">
      <w:pPr>
        <w:spacing w:line="360" w:lineRule="auto"/>
        <w:jc w:val="both"/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751830" cy="3117850"/>
            <wp:effectExtent l="0" t="0" r="1270" b="6350"/>
            <wp:docPr id="8" name="图片 8" descr="SI图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SI图_0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51830" cy="311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F28BF0">
      <w:pPr>
        <w:spacing w:line="360" w:lineRule="auto"/>
        <w:jc w:val="both"/>
        <w:rPr>
          <w:rFonts w:hint="eastAsia" w:eastAsia="宋体"/>
          <w:lang w:val="en-US" w:eastAsia="zh-CN"/>
        </w:rPr>
      </w:pPr>
      <w:r>
        <w:rPr>
          <w:rFonts w:hint="eastAsia" w:eastAsia="宋体"/>
          <w:b/>
          <w:bCs/>
          <w:lang w:val="en-US" w:eastAsia="zh-CN"/>
        </w:rPr>
        <w:t xml:space="preserve">Fig. S7. </w:t>
      </w:r>
      <w:r>
        <w:rPr>
          <w:rFonts w:hint="eastAsia" w:eastAsia="宋体"/>
          <w:lang w:val="en-US" w:eastAsia="zh-CN"/>
        </w:rPr>
        <w:t>Assessment of cytotoxicity and biocompatibility of nested microspheres in vitro. Live/Dead cell staining assay showing representative fluorescence images and quantitative analysis of LMSCs at days 1, 3, and 7. Live cells are stained green, while dead cells are stained red.</w:t>
      </w:r>
    </w:p>
    <w:p w14:paraId="1BC7F146">
      <w:pPr>
        <w:spacing w:line="360" w:lineRule="auto"/>
        <w:jc w:val="both"/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758180" cy="3644265"/>
            <wp:effectExtent l="0" t="0" r="4445" b="3810"/>
            <wp:docPr id="9" name="图片 9" descr="SI图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SI图_0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58180" cy="364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8E65F">
      <w:pPr>
        <w:spacing w:line="360" w:lineRule="auto"/>
        <w:jc w:val="both"/>
        <w:rPr>
          <w:rFonts w:hint="eastAsia" w:eastAsia="宋体"/>
          <w:lang w:val="en-US" w:eastAsia="zh-CN"/>
        </w:rPr>
      </w:pPr>
      <w:r>
        <w:rPr>
          <w:rFonts w:hint="eastAsia" w:eastAsia="宋体"/>
          <w:b/>
          <w:bCs/>
          <w:lang w:val="en-US" w:eastAsia="zh-CN"/>
        </w:rPr>
        <w:t>Fig. S8.</w:t>
      </w:r>
      <w:r>
        <w:rPr>
          <w:rFonts w:hint="eastAsia" w:eastAsia="宋体"/>
          <w:lang w:val="en-US" w:eastAsia="zh-CN"/>
        </w:rPr>
        <w:t xml:space="preserve"> Western Blot analysis was performed to assess the protein expression and relative phosphorylation levels of p FAK, Pan Ras, p MEK,and p ERK in LMSCs after 7 days of co-cultu</w:t>
      </w:r>
      <w:r>
        <w:rPr>
          <w:rFonts w:hint="default" w:ascii="Times New Roman" w:hAnsi="Times New Roman" w:eastAsia="宋体" w:cs="Times New Roman"/>
          <w:lang w:val="en-US" w:eastAsia="zh-CN"/>
        </w:rPr>
        <w:t>re. β-actin w</w:t>
      </w:r>
      <w:r>
        <w:rPr>
          <w:rFonts w:hint="eastAsia" w:eastAsia="宋体"/>
          <w:lang w:val="en-US" w:eastAsia="zh-CN"/>
        </w:rPr>
        <w:t>as used as an internal control.</w:t>
      </w:r>
    </w:p>
    <w:p w14:paraId="48EAD2A2">
      <w:pPr>
        <w:spacing w:line="360" w:lineRule="auto"/>
        <w:jc w:val="both"/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755005" cy="3761105"/>
            <wp:effectExtent l="0" t="0" r="7620" b="1270"/>
            <wp:docPr id="10" name="图片 10" descr="SI图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SI图_0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3761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CE101">
      <w:pPr>
        <w:spacing w:line="360" w:lineRule="auto"/>
        <w:jc w:val="both"/>
        <w:rPr>
          <w:rFonts w:hint="eastAsia" w:eastAsia="宋体"/>
          <w:lang w:val="en-US" w:eastAsia="zh-CN"/>
        </w:rPr>
      </w:pPr>
      <w:r>
        <w:rPr>
          <w:rFonts w:hint="eastAsia" w:eastAsia="宋体"/>
          <w:b/>
          <w:bCs/>
          <w:lang w:val="en-US" w:eastAsia="zh-CN"/>
        </w:rPr>
        <w:t>Fig. S9.</w:t>
      </w:r>
      <w:r>
        <w:rPr>
          <w:rFonts w:hint="eastAsia" w:eastAsia="宋体"/>
          <w:lang w:val="en-US" w:eastAsia="zh-CN"/>
        </w:rPr>
        <w:t xml:space="preserve"> RT-qPCR analysis of osteogenesis-related mRNA expression in LMSCs after 14 days of co-culture with different groups of nested microspheres.</w:t>
      </w:r>
    </w:p>
    <w:p w14:paraId="1997D59D">
      <w:pPr>
        <w:spacing w:line="360" w:lineRule="auto"/>
        <w:jc w:val="both"/>
        <w:rPr>
          <w:rFonts w:hint="default" w:eastAsia="宋体"/>
          <w:lang w:val="en-US" w:eastAsia="zh-CN"/>
        </w:rPr>
      </w:pPr>
    </w:p>
    <w:p w14:paraId="4232DD64">
      <w:pPr>
        <w:spacing w:line="360" w:lineRule="auto"/>
        <w:jc w:val="both"/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754370" cy="3237230"/>
            <wp:effectExtent l="0" t="0" r="8255" b="1270"/>
            <wp:docPr id="11" name="图片 11" descr="SI图_10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SI图_10(2)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54370" cy="3237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9F303">
      <w:pPr>
        <w:spacing w:line="360" w:lineRule="auto"/>
        <w:jc w:val="both"/>
        <w:rPr>
          <w:rFonts w:hint="default" w:eastAsia="宋体"/>
          <w:lang w:val="en-US" w:eastAsia="zh-CN"/>
        </w:rPr>
      </w:pPr>
      <w:r>
        <w:rPr>
          <w:rFonts w:hint="default" w:eastAsia="宋体"/>
          <w:b/>
          <w:bCs/>
          <w:lang w:val="en-US" w:eastAsia="zh-CN"/>
        </w:rPr>
        <w:t>Fig</w:t>
      </w:r>
      <w:r>
        <w:rPr>
          <w:rFonts w:hint="eastAsia" w:eastAsia="宋体"/>
          <w:b/>
          <w:bCs/>
          <w:lang w:val="en-US" w:eastAsia="zh-CN"/>
        </w:rPr>
        <w:t>.</w:t>
      </w:r>
      <w:r>
        <w:rPr>
          <w:rFonts w:hint="default" w:eastAsia="宋体"/>
          <w:b/>
          <w:bCs/>
          <w:lang w:val="en-US" w:eastAsia="zh-CN"/>
        </w:rPr>
        <w:t xml:space="preserve"> S10</w:t>
      </w:r>
      <w:r>
        <w:rPr>
          <w:rFonts w:hint="eastAsia" w:eastAsia="宋体"/>
          <w:b/>
          <w:bCs/>
          <w:lang w:val="en-US" w:eastAsia="zh-CN"/>
        </w:rPr>
        <w:t>.</w:t>
      </w:r>
      <w:r>
        <w:rPr>
          <w:rFonts w:hint="default" w:eastAsia="宋体"/>
          <w:lang w:val="en-US" w:eastAsia="zh-CN"/>
        </w:rPr>
        <w:t xml:space="preserve"> Western Blot analysis was performed to assess the protein expression and relative phosphorylation levels of p Akt, p β-catenin (Ser</w:t>
      </w:r>
      <w:r>
        <w:rPr>
          <w:rFonts w:hint="default" w:eastAsia="宋体"/>
          <w:vertAlign w:val="superscript"/>
          <w:lang w:val="en-US" w:eastAsia="zh-CN"/>
        </w:rPr>
        <w:t>33</w:t>
      </w:r>
      <w:r>
        <w:rPr>
          <w:rFonts w:hint="default" w:eastAsia="宋体"/>
          <w:lang w:val="en-US" w:eastAsia="zh-CN"/>
        </w:rPr>
        <w:t>/Ser</w:t>
      </w:r>
      <w:r>
        <w:rPr>
          <w:rFonts w:hint="default" w:eastAsia="宋体"/>
          <w:vertAlign w:val="superscript"/>
          <w:lang w:val="en-US" w:eastAsia="zh-CN"/>
        </w:rPr>
        <w:t>37</w:t>
      </w:r>
      <w:r>
        <w:rPr>
          <w:rFonts w:hint="default" w:eastAsia="宋体"/>
          <w:lang w:val="en-US" w:eastAsia="zh-CN"/>
        </w:rPr>
        <w:t>/Thr</w:t>
      </w:r>
      <w:r>
        <w:rPr>
          <w:rFonts w:hint="default" w:eastAsia="宋体"/>
          <w:vertAlign w:val="superscript"/>
          <w:lang w:val="en-US" w:eastAsia="zh-CN"/>
        </w:rPr>
        <w:t>41</w:t>
      </w:r>
      <w:r>
        <w:rPr>
          <w:rFonts w:hint="default" w:eastAsia="宋体"/>
          <w:lang w:val="en-US" w:eastAsia="zh-CN"/>
        </w:rPr>
        <w:t>), p β-catenin (Ser</w:t>
      </w:r>
      <w:r>
        <w:rPr>
          <w:rFonts w:hint="default" w:eastAsia="宋体"/>
          <w:vertAlign w:val="superscript"/>
          <w:lang w:val="en-US" w:eastAsia="zh-CN"/>
        </w:rPr>
        <w:t>552</w:t>
      </w:r>
      <w:r>
        <w:rPr>
          <w:rFonts w:hint="default" w:eastAsia="宋体"/>
          <w:lang w:val="en-US" w:eastAsia="zh-CN"/>
        </w:rPr>
        <w:t>), OCN, Pan-Ras in LMSCs after 3 days of co-culture. β-actin was used as an internal control.</w:t>
      </w:r>
    </w:p>
    <w:p w14:paraId="2A058178">
      <w:pPr>
        <w:spacing w:line="360" w:lineRule="auto"/>
        <w:jc w:val="both"/>
        <w:rPr>
          <w:rFonts w:hint="default" w:eastAsia="宋体"/>
          <w:lang w:val="en-US" w:eastAsia="zh-CN"/>
        </w:rPr>
      </w:pPr>
    </w:p>
    <w:p w14:paraId="7129AF79">
      <w:pPr>
        <w:spacing w:line="360" w:lineRule="auto"/>
        <w:jc w:val="both"/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760085" cy="5008880"/>
            <wp:effectExtent l="0" t="0" r="2540" b="1270"/>
            <wp:docPr id="12" name="图片 12" descr="SI图_1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SI图_11(1)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500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2A5158">
      <w:pPr>
        <w:spacing w:line="360" w:lineRule="auto"/>
        <w:jc w:val="both"/>
        <w:rPr>
          <w:rFonts w:hint="eastAsia" w:eastAsia="宋体"/>
          <w:lang w:val="en-US" w:eastAsia="zh-CN"/>
        </w:rPr>
      </w:pPr>
      <w:r>
        <w:rPr>
          <w:rFonts w:hint="eastAsia" w:eastAsia="宋体"/>
          <w:b/>
          <w:bCs/>
          <w:lang w:val="en-US" w:eastAsia="zh-CN"/>
        </w:rPr>
        <w:t>Fig. S11.</w:t>
      </w:r>
      <w:r>
        <w:rPr>
          <w:rFonts w:hint="eastAsia" w:eastAsia="宋体"/>
          <w:lang w:val="en-US" w:eastAsia="zh-CN"/>
        </w:rPr>
        <w:t xml:space="preserve"> All organs exhibited normal tissue morphology with no evident pathological alterations.</w:t>
      </w:r>
    </w:p>
    <w:p w14:paraId="344ECDCC">
      <w:pPr>
        <w:spacing w:line="360" w:lineRule="auto"/>
        <w:jc w:val="both"/>
        <w:rPr>
          <w:rFonts w:hint="eastAsia" w:eastAsia="宋体"/>
          <w:lang w:val="en-US" w:eastAsia="zh-CN"/>
        </w:rPr>
      </w:pPr>
    </w:p>
    <w:p w14:paraId="614B6070">
      <w:pPr>
        <w:spacing w:line="360" w:lineRule="auto"/>
        <w:jc w:val="both"/>
        <w:rPr>
          <w:rFonts w:hint="eastAsia" w:eastAsia="宋体"/>
          <w:lang w:val="en-US" w:eastAsia="zh-CN"/>
        </w:rPr>
      </w:pPr>
    </w:p>
    <w:p w14:paraId="4FF17153">
      <w:pPr>
        <w:spacing w:line="360" w:lineRule="auto"/>
        <w:jc w:val="both"/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588000" cy="5709285"/>
            <wp:effectExtent l="0" t="0" r="0" b="0"/>
            <wp:docPr id="13" name="图片 13" descr="演示文稿1(1)_2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演示文稿1(1)_20(1)"/>
                    <pic:cNvPicPr>
                      <a:picLocks noChangeAspect="1"/>
                    </pic:cNvPicPr>
                  </pic:nvPicPr>
                  <pic:blipFill>
                    <a:blip r:embed="rId17"/>
                    <a:srcRect l="1313" r="1621"/>
                    <a:stretch>
                      <a:fillRect/>
                    </a:stretch>
                  </pic:blipFill>
                  <pic:spPr>
                    <a:xfrm>
                      <a:off x="0" y="0"/>
                      <a:ext cx="5588000" cy="570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36B72">
      <w:pPr>
        <w:spacing w:line="360" w:lineRule="auto"/>
        <w:jc w:val="both"/>
        <w:rPr>
          <w:rFonts w:hint="eastAsia" w:eastAsia="宋体"/>
          <w:lang w:val="en-US" w:eastAsia="zh-CN"/>
        </w:rPr>
      </w:pPr>
      <w:r>
        <w:rPr>
          <w:rFonts w:hint="eastAsia" w:eastAsia="宋体"/>
          <w:b/>
          <w:bCs/>
          <w:lang w:val="en-US" w:eastAsia="zh-CN"/>
        </w:rPr>
        <w:t>Fig. S12.</w:t>
      </w:r>
      <w:r>
        <w:rPr>
          <w:rFonts w:hint="eastAsia" w:eastAsia="宋体"/>
          <w:lang w:val="en-US" w:eastAsia="zh-CN"/>
        </w:rPr>
        <w:t xml:space="preserve"> Micro-CT three-dimensional reconstruction assessing new bone formation in the rabbit maxillary sinus floor elevation region. (a) Micro-CT evaluation of new bone regeneration. (b) Precise quantitative analysis of bone formation beneath the Schneiderian membrane, including bone volume/tissue volume (BV/TV), trabecular number (Tb.N), trabecular separation (Tb.Sp), and trabecular thickness (Tb.Th).</w:t>
      </w:r>
    </w:p>
    <w:p w14:paraId="15E47429">
      <w:pPr>
        <w:spacing w:line="360" w:lineRule="auto"/>
        <w:jc w:val="both"/>
        <w:rPr>
          <w:rFonts w:hint="eastAsia" w:eastAsia="宋体"/>
          <w:lang w:val="en-US" w:eastAsia="zh-CN"/>
        </w:rPr>
      </w:pPr>
    </w:p>
    <w:p w14:paraId="2701109F">
      <w:pPr>
        <w:spacing w:line="360" w:lineRule="auto"/>
        <w:jc w:val="both"/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756910" cy="4794885"/>
            <wp:effectExtent l="0" t="0" r="5715" b="5715"/>
            <wp:docPr id="14" name="图片 14" descr="演示文稿1(1)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演示文稿1(1)_2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79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270E0">
      <w:pPr>
        <w:spacing w:line="360" w:lineRule="auto"/>
        <w:jc w:val="both"/>
        <w:rPr>
          <w:rFonts w:hint="eastAsia" w:eastAsia="宋体"/>
          <w:lang w:val="en-US" w:eastAsia="zh-CN"/>
        </w:rPr>
      </w:pPr>
      <w:r>
        <w:rPr>
          <w:rFonts w:hint="eastAsia" w:eastAsia="宋体"/>
          <w:b/>
          <w:bCs/>
          <w:lang w:val="en-US" w:eastAsia="zh-CN"/>
        </w:rPr>
        <w:t>Fig. S13.</w:t>
      </w:r>
      <w:r>
        <w:rPr>
          <w:rFonts w:hint="eastAsia" w:eastAsia="宋体"/>
          <w:lang w:val="en-US" w:eastAsia="zh-CN"/>
        </w:rPr>
        <w:t xml:space="preserve"> H&amp;E and Masson</w:t>
      </w:r>
      <w:r>
        <w:rPr>
          <w:rFonts w:hint="default" w:eastAsia="宋体"/>
          <w:lang w:val="en-US" w:eastAsia="zh-CN"/>
        </w:rPr>
        <w:t>’</w:t>
      </w:r>
      <w:r>
        <w:rPr>
          <w:rFonts w:hint="eastAsia" w:eastAsia="宋体"/>
          <w:lang w:val="en-US" w:eastAsia="zh-CN"/>
        </w:rPr>
        <w:t>s staining were used to evaluate the morphology and structural integrity of newly formed bone tissue, as well as collagen fiber deposition, with quantitative analysis. NB: newly mineralized bone.</w:t>
      </w:r>
    </w:p>
    <w:p w14:paraId="05081464">
      <w:pPr>
        <w:spacing w:line="360" w:lineRule="auto"/>
        <w:jc w:val="both"/>
        <w:rPr>
          <w:rFonts w:hint="eastAsia" w:eastAsia="宋体"/>
          <w:lang w:val="en-US" w:eastAsia="zh-CN"/>
        </w:rPr>
      </w:pPr>
    </w:p>
    <w:p w14:paraId="5D76EF84">
      <w:pPr>
        <w:spacing w:line="360" w:lineRule="auto"/>
        <w:jc w:val="both"/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749290" cy="6803390"/>
            <wp:effectExtent l="0" t="0" r="3810" b="6985"/>
            <wp:docPr id="18" name="图片 18" descr="演示文稿1(1)_23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演示文稿1(1)_23(2)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49290" cy="6803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41BEB9">
      <w:pPr>
        <w:spacing w:line="360" w:lineRule="auto"/>
        <w:jc w:val="both"/>
        <w:rPr>
          <w:rFonts w:hint="eastAsia" w:eastAsia="宋体"/>
          <w:lang w:val="en-US" w:eastAsia="zh-CN"/>
        </w:rPr>
      </w:pPr>
      <w:r>
        <w:rPr>
          <w:rFonts w:hint="eastAsia" w:eastAsia="宋体"/>
          <w:b/>
          <w:bCs/>
          <w:lang w:val="en-US" w:eastAsia="zh-CN"/>
        </w:rPr>
        <w:t xml:space="preserve">Fig. S14. </w:t>
      </w:r>
      <w:r>
        <w:rPr>
          <w:rFonts w:hint="eastAsia" w:eastAsia="宋体"/>
          <w:lang w:val="en-US" w:eastAsia="zh-CN"/>
        </w:rPr>
        <w:t>Expression of osteogenesis-related genes and proteins in the MSM elevation region at 4 weeks (a) RT-qPCR analysis of osteogenesis-related mRNA expression in regenerated bone tissue. (b,c) Representative immunofluorescence images and quantitative analysis of Col-1 and OCN expression in the vicinity of the MSM.</w:t>
      </w:r>
    </w:p>
    <w:p w14:paraId="7E73B5C5">
      <w:pPr>
        <w:spacing w:line="360" w:lineRule="auto"/>
        <w:jc w:val="both"/>
        <w:rPr>
          <w:rFonts w:hint="eastAsia" w:eastAsia="宋体"/>
          <w:lang w:val="en-US" w:eastAsia="zh-CN"/>
        </w:rPr>
      </w:pPr>
    </w:p>
    <w:p w14:paraId="4DE32BB6">
      <w:pPr>
        <w:spacing w:line="360" w:lineRule="auto"/>
        <w:jc w:val="both"/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750560" cy="5587365"/>
            <wp:effectExtent l="0" t="0" r="2540" b="3810"/>
            <wp:docPr id="19" name="图片 19" descr="演示文稿1(1)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演示文稿1(1)_2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50560" cy="558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8EE13">
      <w:pPr>
        <w:spacing w:line="360" w:lineRule="auto"/>
        <w:jc w:val="both"/>
        <w:rPr>
          <w:rFonts w:hint="eastAsia" w:eastAsia="宋体"/>
          <w:lang w:val="en-US" w:eastAsia="zh-CN"/>
        </w:rPr>
      </w:pPr>
      <w:r>
        <w:rPr>
          <w:rFonts w:hint="eastAsia" w:eastAsia="宋体"/>
          <w:b/>
          <w:bCs/>
          <w:lang w:val="en-US" w:eastAsia="zh-CN"/>
        </w:rPr>
        <w:t>Fig. S15.</w:t>
      </w:r>
      <w:r>
        <w:rPr>
          <w:rFonts w:hint="eastAsia" w:eastAsia="宋体"/>
          <w:lang w:val="en-US" w:eastAsia="zh-CN"/>
        </w:rPr>
        <w:t xml:space="preserve"> Expression of osteogenesis-related genes and proteins in the MSM elevation region at 8 weeks. (a) RT-qPCR analysis of osteogenesis-related mRNA expression in regenerated bone tissue. (b,c) Representative immunofluorescence images and quantitative analysis of OCN expression in the vicinity of the MSM.</w:t>
      </w:r>
    </w:p>
    <w:p w14:paraId="04D1CF26">
      <w:pPr>
        <w:spacing w:line="360" w:lineRule="auto"/>
        <w:jc w:val="both"/>
        <w:rPr>
          <w:rFonts w:hint="eastAsia" w:eastAsia="宋体"/>
          <w:lang w:val="en-US" w:eastAsia="zh-CN"/>
        </w:rPr>
        <w:sectPr>
          <w:pgSz w:w="11906" w:h="16838"/>
          <w:pgMar w:top="1417" w:right="1417" w:bottom="1134" w:left="1417" w:header="708" w:footer="708" w:gutter="0"/>
          <w:cols w:space="708" w:num="1"/>
          <w:docGrid w:linePitch="360" w:charSpace="0"/>
        </w:sectPr>
      </w:pPr>
    </w:p>
    <w:p w14:paraId="617CC90D">
      <w:pPr>
        <w:adjustRightInd w:val="0"/>
        <w:snapToGrid w:val="0"/>
        <w:spacing w:line="480" w:lineRule="auto"/>
        <w:rPr>
          <w:rFonts w:hint="eastAsia" w:eastAsia="宋体"/>
          <w:lang w:val="en-US" w:eastAsia="zh-CN"/>
        </w:rPr>
      </w:pPr>
      <w:r>
        <w:rPr>
          <w:rFonts w:hint="eastAsia" w:eastAsia="宋体"/>
          <w:b/>
          <w:bCs/>
          <w:lang w:val="en-US" w:eastAsia="zh-CN"/>
        </w:rPr>
        <w:t>Table S1.</w:t>
      </w:r>
      <w:r>
        <w:rPr>
          <w:rFonts w:hint="eastAsia" w:eastAsia="宋体"/>
          <w:lang w:val="en-US" w:eastAsia="zh-CN"/>
        </w:rPr>
        <w:t xml:space="preserve"> </w:t>
      </w:r>
      <w:r>
        <w:rPr>
          <w:rFonts w:ascii="Times New Roman" w:hAnsi="Times New Roman"/>
          <w:sz w:val="24"/>
        </w:rPr>
        <w:t>Primer sequences</w:t>
      </w:r>
      <w:r>
        <w:rPr>
          <w:rFonts w:hint="eastAsia" w:ascii="Times New Roman" w:hAnsi="Times New Roman"/>
          <w:sz w:val="24"/>
        </w:rPr>
        <w:t xml:space="preserve"> used in</w:t>
      </w:r>
      <w:r>
        <w:rPr>
          <w:rFonts w:ascii="Times New Roman" w:hAnsi="Times New Roman"/>
          <w:sz w:val="24"/>
        </w:rPr>
        <w:t xml:space="preserve"> RT-</w:t>
      </w:r>
      <w:r>
        <w:rPr>
          <w:rFonts w:hint="eastAsia" w:eastAsia="宋体"/>
          <w:sz w:val="24"/>
          <w:lang w:val="en-US" w:eastAsia="zh-CN"/>
        </w:rPr>
        <w:t>q</w:t>
      </w:r>
      <w:r>
        <w:rPr>
          <w:rFonts w:ascii="Times New Roman" w:hAnsi="Times New Roman"/>
          <w:sz w:val="24"/>
        </w:rPr>
        <w:t>PCR</w:t>
      </w:r>
      <w:r>
        <w:rPr>
          <w:rFonts w:hint="eastAsia" w:eastAsia="宋体"/>
          <w:sz w:val="24"/>
          <w:lang w:val="en-US" w:eastAsia="zh-CN"/>
        </w:rPr>
        <w:t>.</w:t>
      </w:r>
    </w:p>
    <w:p w14:paraId="5CE3C4DD">
      <w:pPr>
        <w:spacing w:line="360" w:lineRule="auto"/>
        <w:jc w:val="both"/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5756910" cy="6453505"/>
            <wp:effectExtent l="0" t="0" r="0" b="0"/>
            <wp:docPr id="20" name="图片 20" descr="演示文稿1(1)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演示文稿1(1)_26"/>
                    <pic:cNvPicPr>
                      <a:picLocks noChangeAspect="1"/>
                    </pic:cNvPicPr>
                  </pic:nvPicPr>
                  <pic:blipFill>
                    <a:blip r:embed="rId21"/>
                    <a:srcRect t="2614" b="15657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645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18B7D0">
      <w:pPr>
        <w:spacing w:line="360" w:lineRule="auto"/>
        <w:jc w:val="both"/>
        <w:rPr>
          <w:rFonts w:hint="default" w:eastAsia="宋体"/>
          <w:lang w:val="en-US" w:eastAsia="zh-CN"/>
        </w:rPr>
        <w:sectPr>
          <w:pgSz w:w="11906" w:h="16838"/>
          <w:pgMar w:top="1417" w:right="1417" w:bottom="1134" w:left="1417" w:header="708" w:footer="708" w:gutter="0"/>
          <w:cols w:space="708" w:num="1"/>
          <w:docGrid w:linePitch="360" w:charSpace="0"/>
        </w:sectPr>
      </w:pPr>
    </w:p>
    <w:p w14:paraId="7EF9695A">
      <w:pPr>
        <w:spacing w:line="360" w:lineRule="auto"/>
        <w:jc w:val="both"/>
        <w:sectPr>
          <w:pgSz w:w="11906" w:h="16838"/>
          <w:pgMar w:top="1417" w:right="1417" w:bottom="1134" w:left="1417" w:header="708" w:footer="708" w:gutter="0"/>
          <w:cols w:space="708" w:num="1"/>
          <w:docGrid w:linePitch="360" w:charSpace="0"/>
        </w:sectPr>
      </w:pPr>
      <w:r>
        <w:drawing>
          <wp:inline distT="0" distB="0" distL="114300" distR="114300">
            <wp:extent cx="5261610" cy="7530465"/>
            <wp:effectExtent l="0" t="0" r="5715" b="3810"/>
            <wp:docPr id="1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753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72CF1A">
      <w:pPr>
        <w:spacing w:line="360" w:lineRule="auto"/>
        <w:jc w:val="both"/>
      </w:pPr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-290195</wp:posOffset>
            </wp:positionH>
            <wp:positionV relativeFrom="paragraph">
              <wp:posOffset>36195</wp:posOffset>
            </wp:positionV>
            <wp:extent cx="6654800" cy="3743960"/>
            <wp:effectExtent l="0" t="0" r="3175" b="8890"/>
            <wp:wrapSquare wrapText="bothSides"/>
            <wp:docPr id="1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54800" cy="374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36C34B5">
      <w:pPr>
        <w:spacing w:line="360" w:lineRule="auto"/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758815" cy="8201025"/>
            <wp:effectExtent l="0" t="0" r="3810" b="0"/>
            <wp:docPr id="1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58815" cy="820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17" w:right="1417" w:bottom="1134" w:left="1417" w:header="708" w:footer="708" w:gutter="0"/>
      <w:cols w:space="708" w:num="1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MS Mincho">
    <w:altName w:val="Yu Gothic UI"/>
    <w:panose1 w:val="02020609040205080304"/>
    <w:charset w:val="80"/>
    <w:family w:val="modern"/>
    <w:pitch w:val="default"/>
    <w:sig w:usb0="00000000" w:usb1="00000000" w:usb2="08000012" w:usb3="00000000" w:csb0="0002009F" w:csb1="00000000"/>
  </w:font>
  <w:font w:name="Yu Gothic UI">
    <w:panose1 w:val="020B0500000000000000"/>
    <w:charset w:val="80"/>
    <w:family w:val="auto"/>
    <w:pitch w:val="default"/>
    <w:sig w:usb0="E00002FF" w:usb1="2AC7FDFF" w:usb2="00000016" w:usb3="00000000" w:csb0="2002009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A5B96A1">
    <w:pPr>
      <w:pStyle w:val="4"/>
      <w:jc w:val="center"/>
    </w:pPr>
    <w:r>
      <w:fldChar w:fldCharType="begin"/>
    </w:r>
    <w:r>
      <w:instrText xml:space="preserve">PAGE   \* MERGEFORMAT</w:instrText>
    </w:r>
    <w:r>
      <w:fldChar w:fldCharType="separate"/>
    </w:r>
    <w:r>
      <w:t>2</w:t>
    </w:r>
    <w:r>
      <w:fldChar w:fldCharType="end"/>
    </w:r>
  </w:p>
  <w:p w14:paraId="76AE581B">
    <w:pPr>
      <w:pStyle w:val="4"/>
      <w:jc w:val="center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27A9236">
    <w:pPr>
      <w:pStyle w:val="5"/>
      <w:tabs>
        <w:tab w:val="left" w:pos="5003"/>
      </w:tabs>
      <w:jc w:val="right"/>
      <w:rPr>
        <w:lang w:val="en-US"/>
      </w:rPr>
    </w:pPr>
    <w:r>
      <w:tab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5"/>
  <w:removePersonalInformation/>
  <w:bordersDoNotSurroundHeader w:val="0"/>
  <w:bordersDoNotSurroundFooter w:val="0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ocumentProtection w:enforcement="0"/>
  <w:defaultTabStop w:val="708"/>
  <w:hyphenationZone w:val="425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D16A0"/>
    <w:rsid w:val="000003BB"/>
    <w:rsid w:val="0000374D"/>
    <w:rsid w:val="00004A23"/>
    <w:rsid w:val="00006A0A"/>
    <w:rsid w:val="0000703E"/>
    <w:rsid w:val="000112FC"/>
    <w:rsid w:val="000118B0"/>
    <w:rsid w:val="00011F40"/>
    <w:rsid w:val="0001454A"/>
    <w:rsid w:val="0001683C"/>
    <w:rsid w:val="000172E7"/>
    <w:rsid w:val="000214A8"/>
    <w:rsid w:val="00023F64"/>
    <w:rsid w:val="00027FB5"/>
    <w:rsid w:val="000314D2"/>
    <w:rsid w:val="0003318F"/>
    <w:rsid w:val="0004094E"/>
    <w:rsid w:val="00040B7B"/>
    <w:rsid w:val="00041C1B"/>
    <w:rsid w:val="000437F7"/>
    <w:rsid w:val="00050985"/>
    <w:rsid w:val="0005501E"/>
    <w:rsid w:val="00055883"/>
    <w:rsid w:val="0006044D"/>
    <w:rsid w:val="00060D37"/>
    <w:rsid w:val="00062324"/>
    <w:rsid w:val="00063C0E"/>
    <w:rsid w:val="00072EA7"/>
    <w:rsid w:val="00076EAD"/>
    <w:rsid w:val="0008287E"/>
    <w:rsid w:val="00083031"/>
    <w:rsid w:val="0008740B"/>
    <w:rsid w:val="000904D3"/>
    <w:rsid w:val="0009309C"/>
    <w:rsid w:val="00093F1B"/>
    <w:rsid w:val="000A1F4B"/>
    <w:rsid w:val="000A21A9"/>
    <w:rsid w:val="000A3E93"/>
    <w:rsid w:val="000A472C"/>
    <w:rsid w:val="000A5773"/>
    <w:rsid w:val="000A682F"/>
    <w:rsid w:val="000B05A0"/>
    <w:rsid w:val="000B33EE"/>
    <w:rsid w:val="000B4293"/>
    <w:rsid w:val="000C259E"/>
    <w:rsid w:val="000C3E0C"/>
    <w:rsid w:val="000C6252"/>
    <w:rsid w:val="000C6F8A"/>
    <w:rsid w:val="000D2D4B"/>
    <w:rsid w:val="000D45F4"/>
    <w:rsid w:val="000D5AB4"/>
    <w:rsid w:val="000D66DB"/>
    <w:rsid w:val="000D7EBA"/>
    <w:rsid w:val="000E788B"/>
    <w:rsid w:val="000E7A5B"/>
    <w:rsid w:val="000E7BBA"/>
    <w:rsid w:val="000F512F"/>
    <w:rsid w:val="000F54C4"/>
    <w:rsid w:val="001013F4"/>
    <w:rsid w:val="001054D4"/>
    <w:rsid w:val="0010686C"/>
    <w:rsid w:val="00107C5F"/>
    <w:rsid w:val="00107CCC"/>
    <w:rsid w:val="00110011"/>
    <w:rsid w:val="001105BD"/>
    <w:rsid w:val="00116C82"/>
    <w:rsid w:val="00120BE6"/>
    <w:rsid w:val="00120E85"/>
    <w:rsid w:val="00123ADA"/>
    <w:rsid w:val="00125573"/>
    <w:rsid w:val="0012642A"/>
    <w:rsid w:val="00126D17"/>
    <w:rsid w:val="001305BF"/>
    <w:rsid w:val="00131D58"/>
    <w:rsid w:val="001370B1"/>
    <w:rsid w:val="001377CA"/>
    <w:rsid w:val="00140B94"/>
    <w:rsid w:val="001450FB"/>
    <w:rsid w:val="0014658A"/>
    <w:rsid w:val="00147DB8"/>
    <w:rsid w:val="00151683"/>
    <w:rsid w:val="0015392F"/>
    <w:rsid w:val="0015563E"/>
    <w:rsid w:val="00155F66"/>
    <w:rsid w:val="0016390D"/>
    <w:rsid w:val="00164057"/>
    <w:rsid w:val="00165B37"/>
    <w:rsid w:val="00170369"/>
    <w:rsid w:val="00173757"/>
    <w:rsid w:val="00174176"/>
    <w:rsid w:val="00181D92"/>
    <w:rsid w:val="001823B6"/>
    <w:rsid w:val="001848EB"/>
    <w:rsid w:val="00187DB9"/>
    <w:rsid w:val="0019077D"/>
    <w:rsid w:val="0019194D"/>
    <w:rsid w:val="0019723B"/>
    <w:rsid w:val="001A4240"/>
    <w:rsid w:val="001A6821"/>
    <w:rsid w:val="001A734D"/>
    <w:rsid w:val="001B4224"/>
    <w:rsid w:val="001B7472"/>
    <w:rsid w:val="001C10AC"/>
    <w:rsid w:val="001C55FB"/>
    <w:rsid w:val="001D12BC"/>
    <w:rsid w:val="001D561D"/>
    <w:rsid w:val="001E18CC"/>
    <w:rsid w:val="001E3D2D"/>
    <w:rsid w:val="001E4605"/>
    <w:rsid w:val="001E5F4E"/>
    <w:rsid w:val="001F2689"/>
    <w:rsid w:val="001F2AB7"/>
    <w:rsid w:val="001F3C9B"/>
    <w:rsid w:val="001F3E77"/>
    <w:rsid w:val="001F4BD1"/>
    <w:rsid w:val="001F5110"/>
    <w:rsid w:val="001F5702"/>
    <w:rsid w:val="001F65A2"/>
    <w:rsid w:val="002002FC"/>
    <w:rsid w:val="00201F71"/>
    <w:rsid w:val="00203934"/>
    <w:rsid w:val="0020446B"/>
    <w:rsid w:val="00204BA7"/>
    <w:rsid w:val="002072AB"/>
    <w:rsid w:val="00210140"/>
    <w:rsid w:val="00211942"/>
    <w:rsid w:val="00214D95"/>
    <w:rsid w:val="00215531"/>
    <w:rsid w:val="002162B2"/>
    <w:rsid w:val="00216F54"/>
    <w:rsid w:val="00220933"/>
    <w:rsid w:val="00220C72"/>
    <w:rsid w:val="0022540C"/>
    <w:rsid w:val="00226AA4"/>
    <w:rsid w:val="00233C8A"/>
    <w:rsid w:val="00236036"/>
    <w:rsid w:val="00240D90"/>
    <w:rsid w:val="00253CB1"/>
    <w:rsid w:val="002543F9"/>
    <w:rsid w:val="00257ADD"/>
    <w:rsid w:val="00263723"/>
    <w:rsid w:val="00263CF8"/>
    <w:rsid w:val="00265635"/>
    <w:rsid w:val="00266389"/>
    <w:rsid w:val="002675F7"/>
    <w:rsid w:val="002725A5"/>
    <w:rsid w:val="0027314F"/>
    <w:rsid w:val="0028289F"/>
    <w:rsid w:val="00284157"/>
    <w:rsid w:val="00285631"/>
    <w:rsid w:val="00290D94"/>
    <w:rsid w:val="0029203C"/>
    <w:rsid w:val="00294873"/>
    <w:rsid w:val="002A3CE7"/>
    <w:rsid w:val="002A4A81"/>
    <w:rsid w:val="002A73A2"/>
    <w:rsid w:val="002A7CE8"/>
    <w:rsid w:val="002B0671"/>
    <w:rsid w:val="002B262F"/>
    <w:rsid w:val="002B3553"/>
    <w:rsid w:val="002B5E06"/>
    <w:rsid w:val="002C0CFF"/>
    <w:rsid w:val="002D09B9"/>
    <w:rsid w:val="002D16A0"/>
    <w:rsid w:val="002D2930"/>
    <w:rsid w:val="002D2DFF"/>
    <w:rsid w:val="002D3D6D"/>
    <w:rsid w:val="002D5BF8"/>
    <w:rsid w:val="002D7ECC"/>
    <w:rsid w:val="002E1B8F"/>
    <w:rsid w:val="002E2DEF"/>
    <w:rsid w:val="002E4E3E"/>
    <w:rsid w:val="002E76B2"/>
    <w:rsid w:val="002E79A2"/>
    <w:rsid w:val="002F4F4B"/>
    <w:rsid w:val="002F55FD"/>
    <w:rsid w:val="002F594C"/>
    <w:rsid w:val="00301984"/>
    <w:rsid w:val="00301B0B"/>
    <w:rsid w:val="00301E84"/>
    <w:rsid w:val="00302E7A"/>
    <w:rsid w:val="00303D1B"/>
    <w:rsid w:val="003046B7"/>
    <w:rsid w:val="00317A57"/>
    <w:rsid w:val="00320A99"/>
    <w:rsid w:val="0032144B"/>
    <w:rsid w:val="00321E38"/>
    <w:rsid w:val="00322D5B"/>
    <w:rsid w:val="00325AC2"/>
    <w:rsid w:val="00326A1C"/>
    <w:rsid w:val="00327FDC"/>
    <w:rsid w:val="003360E3"/>
    <w:rsid w:val="003371D5"/>
    <w:rsid w:val="003376CD"/>
    <w:rsid w:val="003452C3"/>
    <w:rsid w:val="003501A7"/>
    <w:rsid w:val="0035048A"/>
    <w:rsid w:val="0036263B"/>
    <w:rsid w:val="00363B62"/>
    <w:rsid w:val="003645B0"/>
    <w:rsid w:val="00364B2C"/>
    <w:rsid w:val="003664F1"/>
    <w:rsid w:val="00367E3F"/>
    <w:rsid w:val="00377EA5"/>
    <w:rsid w:val="00377F77"/>
    <w:rsid w:val="00383073"/>
    <w:rsid w:val="0038438F"/>
    <w:rsid w:val="00387C67"/>
    <w:rsid w:val="00387D98"/>
    <w:rsid w:val="00390B0F"/>
    <w:rsid w:val="00390B38"/>
    <w:rsid w:val="00390B6B"/>
    <w:rsid w:val="00391CFE"/>
    <w:rsid w:val="0039353B"/>
    <w:rsid w:val="00394F9E"/>
    <w:rsid w:val="00395426"/>
    <w:rsid w:val="00395B91"/>
    <w:rsid w:val="00396615"/>
    <w:rsid w:val="0039700D"/>
    <w:rsid w:val="00397089"/>
    <w:rsid w:val="003978A8"/>
    <w:rsid w:val="003A0848"/>
    <w:rsid w:val="003A0F30"/>
    <w:rsid w:val="003A4C44"/>
    <w:rsid w:val="003A5AD0"/>
    <w:rsid w:val="003A6CE3"/>
    <w:rsid w:val="003A7899"/>
    <w:rsid w:val="003B15EE"/>
    <w:rsid w:val="003B517D"/>
    <w:rsid w:val="003B60EC"/>
    <w:rsid w:val="003C00ED"/>
    <w:rsid w:val="003C1C0A"/>
    <w:rsid w:val="003C35DF"/>
    <w:rsid w:val="003C4A68"/>
    <w:rsid w:val="003C554F"/>
    <w:rsid w:val="003C61DD"/>
    <w:rsid w:val="003D63E7"/>
    <w:rsid w:val="003E05F1"/>
    <w:rsid w:val="003E113B"/>
    <w:rsid w:val="003E5092"/>
    <w:rsid w:val="003E715D"/>
    <w:rsid w:val="003F103E"/>
    <w:rsid w:val="003F2E48"/>
    <w:rsid w:val="003F440C"/>
    <w:rsid w:val="003F525A"/>
    <w:rsid w:val="003F7BE6"/>
    <w:rsid w:val="004006A9"/>
    <w:rsid w:val="00404548"/>
    <w:rsid w:val="004052AE"/>
    <w:rsid w:val="004118A5"/>
    <w:rsid w:val="00413672"/>
    <w:rsid w:val="00414041"/>
    <w:rsid w:val="00414465"/>
    <w:rsid w:val="00414729"/>
    <w:rsid w:val="00414C80"/>
    <w:rsid w:val="00414F4B"/>
    <w:rsid w:val="00415EF9"/>
    <w:rsid w:val="00416629"/>
    <w:rsid w:val="00417DA1"/>
    <w:rsid w:val="00423478"/>
    <w:rsid w:val="00425B76"/>
    <w:rsid w:val="004260A2"/>
    <w:rsid w:val="00426FC6"/>
    <w:rsid w:val="004273BC"/>
    <w:rsid w:val="00427C5F"/>
    <w:rsid w:val="00441EAC"/>
    <w:rsid w:val="004507E5"/>
    <w:rsid w:val="004519AD"/>
    <w:rsid w:val="0045459A"/>
    <w:rsid w:val="004545DB"/>
    <w:rsid w:val="0045786A"/>
    <w:rsid w:val="00460F76"/>
    <w:rsid w:val="00462F12"/>
    <w:rsid w:val="00463050"/>
    <w:rsid w:val="0046340F"/>
    <w:rsid w:val="00466168"/>
    <w:rsid w:val="0046778B"/>
    <w:rsid w:val="004714D4"/>
    <w:rsid w:val="00475712"/>
    <w:rsid w:val="00480CCE"/>
    <w:rsid w:val="00482FAA"/>
    <w:rsid w:val="00487211"/>
    <w:rsid w:val="0049075F"/>
    <w:rsid w:val="00492DA8"/>
    <w:rsid w:val="004A0888"/>
    <w:rsid w:val="004A43B6"/>
    <w:rsid w:val="004A70EE"/>
    <w:rsid w:val="004A774E"/>
    <w:rsid w:val="004A7D3E"/>
    <w:rsid w:val="004A7FF9"/>
    <w:rsid w:val="004B379D"/>
    <w:rsid w:val="004B5F0C"/>
    <w:rsid w:val="004B6031"/>
    <w:rsid w:val="004C046E"/>
    <w:rsid w:val="004C1609"/>
    <w:rsid w:val="004C216B"/>
    <w:rsid w:val="004C5DD3"/>
    <w:rsid w:val="004D30F9"/>
    <w:rsid w:val="004D4A32"/>
    <w:rsid w:val="004D64AB"/>
    <w:rsid w:val="004E7CE8"/>
    <w:rsid w:val="004F271D"/>
    <w:rsid w:val="004F5114"/>
    <w:rsid w:val="004F756C"/>
    <w:rsid w:val="005001FA"/>
    <w:rsid w:val="005015A1"/>
    <w:rsid w:val="005019AF"/>
    <w:rsid w:val="0050488D"/>
    <w:rsid w:val="00504D12"/>
    <w:rsid w:val="0050527A"/>
    <w:rsid w:val="0050535A"/>
    <w:rsid w:val="005106F5"/>
    <w:rsid w:val="00511192"/>
    <w:rsid w:val="005118AD"/>
    <w:rsid w:val="00512353"/>
    <w:rsid w:val="005220C2"/>
    <w:rsid w:val="00522E88"/>
    <w:rsid w:val="00523369"/>
    <w:rsid w:val="0052398F"/>
    <w:rsid w:val="00532960"/>
    <w:rsid w:val="00545A73"/>
    <w:rsid w:val="00546DEB"/>
    <w:rsid w:val="00546F0F"/>
    <w:rsid w:val="005477E7"/>
    <w:rsid w:val="00550159"/>
    <w:rsid w:val="00551897"/>
    <w:rsid w:val="00551FFD"/>
    <w:rsid w:val="00552A0F"/>
    <w:rsid w:val="005551ED"/>
    <w:rsid w:val="00556419"/>
    <w:rsid w:val="005572B4"/>
    <w:rsid w:val="005572DD"/>
    <w:rsid w:val="00560564"/>
    <w:rsid w:val="00562E2B"/>
    <w:rsid w:val="00564668"/>
    <w:rsid w:val="00570353"/>
    <w:rsid w:val="005715F5"/>
    <w:rsid w:val="0057171E"/>
    <w:rsid w:val="00571EEC"/>
    <w:rsid w:val="00572666"/>
    <w:rsid w:val="0057267E"/>
    <w:rsid w:val="005726BD"/>
    <w:rsid w:val="00574A5A"/>
    <w:rsid w:val="005753B8"/>
    <w:rsid w:val="00583ED5"/>
    <w:rsid w:val="00587437"/>
    <w:rsid w:val="00592678"/>
    <w:rsid w:val="00594644"/>
    <w:rsid w:val="0059526F"/>
    <w:rsid w:val="00596F36"/>
    <w:rsid w:val="005A1741"/>
    <w:rsid w:val="005A235F"/>
    <w:rsid w:val="005A751F"/>
    <w:rsid w:val="005A7719"/>
    <w:rsid w:val="005A77C2"/>
    <w:rsid w:val="005B291B"/>
    <w:rsid w:val="005B3B91"/>
    <w:rsid w:val="005B76C5"/>
    <w:rsid w:val="005B7AF0"/>
    <w:rsid w:val="005B7B8A"/>
    <w:rsid w:val="005C09C6"/>
    <w:rsid w:val="005C458D"/>
    <w:rsid w:val="005C491E"/>
    <w:rsid w:val="005C5E0A"/>
    <w:rsid w:val="005C6C0C"/>
    <w:rsid w:val="005D2276"/>
    <w:rsid w:val="005D25FD"/>
    <w:rsid w:val="005D2808"/>
    <w:rsid w:val="005E0858"/>
    <w:rsid w:val="005E2794"/>
    <w:rsid w:val="005E3CBF"/>
    <w:rsid w:val="005E6F9D"/>
    <w:rsid w:val="005E7B5A"/>
    <w:rsid w:val="005F01FC"/>
    <w:rsid w:val="005F0C89"/>
    <w:rsid w:val="005F3701"/>
    <w:rsid w:val="005F41DF"/>
    <w:rsid w:val="005F4521"/>
    <w:rsid w:val="005F5478"/>
    <w:rsid w:val="006006FC"/>
    <w:rsid w:val="006045BA"/>
    <w:rsid w:val="0060583A"/>
    <w:rsid w:val="00611649"/>
    <w:rsid w:val="00611A0E"/>
    <w:rsid w:val="00614154"/>
    <w:rsid w:val="00614BD3"/>
    <w:rsid w:val="00623A77"/>
    <w:rsid w:val="006256F5"/>
    <w:rsid w:val="0063097B"/>
    <w:rsid w:val="006364B8"/>
    <w:rsid w:val="00636A64"/>
    <w:rsid w:val="00636B93"/>
    <w:rsid w:val="00640550"/>
    <w:rsid w:val="0064326A"/>
    <w:rsid w:val="00644D5D"/>
    <w:rsid w:val="0064695B"/>
    <w:rsid w:val="00646DC7"/>
    <w:rsid w:val="006511FB"/>
    <w:rsid w:val="00651A9D"/>
    <w:rsid w:val="00654C93"/>
    <w:rsid w:val="00656092"/>
    <w:rsid w:val="0065741C"/>
    <w:rsid w:val="00660B85"/>
    <w:rsid w:val="006622E0"/>
    <w:rsid w:val="00662DCE"/>
    <w:rsid w:val="00664F6D"/>
    <w:rsid w:val="006650B8"/>
    <w:rsid w:val="00666329"/>
    <w:rsid w:val="006672EE"/>
    <w:rsid w:val="0067011F"/>
    <w:rsid w:val="0067015E"/>
    <w:rsid w:val="00680453"/>
    <w:rsid w:val="00682526"/>
    <w:rsid w:val="00683555"/>
    <w:rsid w:val="00686F1D"/>
    <w:rsid w:val="00692F7A"/>
    <w:rsid w:val="00695E06"/>
    <w:rsid w:val="00696315"/>
    <w:rsid w:val="006A0D51"/>
    <w:rsid w:val="006A1C05"/>
    <w:rsid w:val="006A225B"/>
    <w:rsid w:val="006A30D2"/>
    <w:rsid w:val="006A5A6A"/>
    <w:rsid w:val="006A5FE3"/>
    <w:rsid w:val="006B23B2"/>
    <w:rsid w:val="006B4845"/>
    <w:rsid w:val="006B635C"/>
    <w:rsid w:val="006C1708"/>
    <w:rsid w:val="006C1C29"/>
    <w:rsid w:val="006C3782"/>
    <w:rsid w:val="006C3CDE"/>
    <w:rsid w:val="006C4745"/>
    <w:rsid w:val="006D0EE8"/>
    <w:rsid w:val="006D3162"/>
    <w:rsid w:val="006D37E7"/>
    <w:rsid w:val="006D5146"/>
    <w:rsid w:val="006D59D6"/>
    <w:rsid w:val="006D5C04"/>
    <w:rsid w:val="006D7508"/>
    <w:rsid w:val="006E0F2F"/>
    <w:rsid w:val="006E19D7"/>
    <w:rsid w:val="006E71B9"/>
    <w:rsid w:val="006F39B2"/>
    <w:rsid w:val="006F5384"/>
    <w:rsid w:val="006F6604"/>
    <w:rsid w:val="006F6896"/>
    <w:rsid w:val="006F71D8"/>
    <w:rsid w:val="006F7D1A"/>
    <w:rsid w:val="00702F6F"/>
    <w:rsid w:val="0070346C"/>
    <w:rsid w:val="007051A0"/>
    <w:rsid w:val="00706496"/>
    <w:rsid w:val="00711A12"/>
    <w:rsid w:val="00711F11"/>
    <w:rsid w:val="007154C4"/>
    <w:rsid w:val="00715DB9"/>
    <w:rsid w:val="007174BE"/>
    <w:rsid w:val="007218A0"/>
    <w:rsid w:val="007238AF"/>
    <w:rsid w:val="00726908"/>
    <w:rsid w:val="007270C7"/>
    <w:rsid w:val="00730F3A"/>
    <w:rsid w:val="00735F34"/>
    <w:rsid w:val="00736944"/>
    <w:rsid w:val="00741200"/>
    <w:rsid w:val="00741333"/>
    <w:rsid w:val="00742FF2"/>
    <w:rsid w:val="00744D6A"/>
    <w:rsid w:val="00746138"/>
    <w:rsid w:val="0074620A"/>
    <w:rsid w:val="00751D50"/>
    <w:rsid w:val="007527D5"/>
    <w:rsid w:val="00752F3C"/>
    <w:rsid w:val="007561FC"/>
    <w:rsid w:val="00761D34"/>
    <w:rsid w:val="00762D2D"/>
    <w:rsid w:val="00764622"/>
    <w:rsid w:val="00764CAD"/>
    <w:rsid w:val="00770FA1"/>
    <w:rsid w:val="00773884"/>
    <w:rsid w:val="00774813"/>
    <w:rsid w:val="0078052A"/>
    <w:rsid w:val="007812FB"/>
    <w:rsid w:val="00784032"/>
    <w:rsid w:val="00786E79"/>
    <w:rsid w:val="00787925"/>
    <w:rsid w:val="00790E31"/>
    <w:rsid w:val="00791578"/>
    <w:rsid w:val="00793B87"/>
    <w:rsid w:val="0079566E"/>
    <w:rsid w:val="00796509"/>
    <w:rsid w:val="0079691E"/>
    <w:rsid w:val="00797723"/>
    <w:rsid w:val="007A14B0"/>
    <w:rsid w:val="007B1EEE"/>
    <w:rsid w:val="007B249B"/>
    <w:rsid w:val="007B6D4D"/>
    <w:rsid w:val="007B6FAF"/>
    <w:rsid w:val="007B7A09"/>
    <w:rsid w:val="007C0F7A"/>
    <w:rsid w:val="007D24A9"/>
    <w:rsid w:val="007D27FA"/>
    <w:rsid w:val="007D30B5"/>
    <w:rsid w:val="007D6218"/>
    <w:rsid w:val="007D6699"/>
    <w:rsid w:val="007D7E30"/>
    <w:rsid w:val="007E0A75"/>
    <w:rsid w:val="007E6419"/>
    <w:rsid w:val="007F6815"/>
    <w:rsid w:val="007F6BA8"/>
    <w:rsid w:val="0080681B"/>
    <w:rsid w:val="0080738C"/>
    <w:rsid w:val="00810B77"/>
    <w:rsid w:val="00817436"/>
    <w:rsid w:val="00822217"/>
    <w:rsid w:val="0082542D"/>
    <w:rsid w:val="00827834"/>
    <w:rsid w:val="00832835"/>
    <w:rsid w:val="00835110"/>
    <w:rsid w:val="008351FC"/>
    <w:rsid w:val="00841F50"/>
    <w:rsid w:val="00843A0E"/>
    <w:rsid w:val="00845DFE"/>
    <w:rsid w:val="00846E17"/>
    <w:rsid w:val="0085200A"/>
    <w:rsid w:val="00854283"/>
    <w:rsid w:val="008573E3"/>
    <w:rsid w:val="00861E81"/>
    <w:rsid w:val="008645FF"/>
    <w:rsid w:val="00866D42"/>
    <w:rsid w:val="0087030E"/>
    <w:rsid w:val="00870AAC"/>
    <w:rsid w:val="008734F7"/>
    <w:rsid w:val="00874E9F"/>
    <w:rsid w:val="00877842"/>
    <w:rsid w:val="008806F8"/>
    <w:rsid w:val="008808E2"/>
    <w:rsid w:val="00881456"/>
    <w:rsid w:val="00881ACB"/>
    <w:rsid w:val="00885FC9"/>
    <w:rsid w:val="00891328"/>
    <w:rsid w:val="00891A47"/>
    <w:rsid w:val="00892809"/>
    <w:rsid w:val="0089370F"/>
    <w:rsid w:val="008939AF"/>
    <w:rsid w:val="00893FED"/>
    <w:rsid w:val="0089449A"/>
    <w:rsid w:val="00895E48"/>
    <w:rsid w:val="00896687"/>
    <w:rsid w:val="008971F4"/>
    <w:rsid w:val="008A0E7D"/>
    <w:rsid w:val="008A3023"/>
    <w:rsid w:val="008A403F"/>
    <w:rsid w:val="008A6815"/>
    <w:rsid w:val="008B1031"/>
    <w:rsid w:val="008B2303"/>
    <w:rsid w:val="008B34A0"/>
    <w:rsid w:val="008B5740"/>
    <w:rsid w:val="008C0B84"/>
    <w:rsid w:val="008C41DA"/>
    <w:rsid w:val="008C553A"/>
    <w:rsid w:val="008C588E"/>
    <w:rsid w:val="008C6D5F"/>
    <w:rsid w:val="008C7226"/>
    <w:rsid w:val="008D7B80"/>
    <w:rsid w:val="008E243B"/>
    <w:rsid w:val="008E4184"/>
    <w:rsid w:val="008E549F"/>
    <w:rsid w:val="008E6301"/>
    <w:rsid w:val="008F10BC"/>
    <w:rsid w:val="008F2052"/>
    <w:rsid w:val="008F26ED"/>
    <w:rsid w:val="008F2A38"/>
    <w:rsid w:val="008F3012"/>
    <w:rsid w:val="008F592B"/>
    <w:rsid w:val="00901D14"/>
    <w:rsid w:val="00903775"/>
    <w:rsid w:val="009109F7"/>
    <w:rsid w:val="00912137"/>
    <w:rsid w:val="00915BED"/>
    <w:rsid w:val="00916B64"/>
    <w:rsid w:val="00916F61"/>
    <w:rsid w:val="0092145D"/>
    <w:rsid w:val="009245DE"/>
    <w:rsid w:val="00930762"/>
    <w:rsid w:val="00930C0C"/>
    <w:rsid w:val="00936B81"/>
    <w:rsid w:val="00944701"/>
    <w:rsid w:val="00950ED1"/>
    <w:rsid w:val="00952A7A"/>
    <w:rsid w:val="00953A02"/>
    <w:rsid w:val="0095444E"/>
    <w:rsid w:val="00955C67"/>
    <w:rsid w:val="00957B65"/>
    <w:rsid w:val="00960AFF"/>
    <w:rsid w:val="00963F62"/>
    <w:rsid w:val="00965EFC"/>
    <w:rsid w:val="0097161B"/>
    <w:rsid w:val="009762D2"/>
    <w:rsid w:val="009762F1"/>
    <w:rsid w:val="0097692D"/>
    <w:rsid w:val="009776D2"/>
    <w:rsid w:val="00977EA8"/>
    <w:rsid w:val="0098140D"/>
    <w:rsid w:val="00981CED"/>
    <w:rsid w:val="00987225"/>
    <w:rsid w:val="00990870"/>
    <w:rsid w:val="00990DCF"/>
    <w:rsid w:val="009920F5"/>
    <w:rsid w:val="00992B56"/>
    <w:rsid w:val="00992CDA"/>
    <w:rsid w:val="00993342"/>
    <w:rsid w:val="00996CE4"/>
    <w:rsid w:val="009A0FB3"/>
    <w:rsid w:val="009A3F36"/>
    <w:rsid w:val="009A48D8"/>
    <w:rsid w:val="009A6C59"/>
    <w:rsid w:val="009A7878"/>
    <w:rsid w:val="009B0888"/>
    <w:rsid w:val="009B33DF"/>
    <w:rsid w:val="009B4270"/>
    <w:rsid w:val="009B44CC"/>
    <w:rsid w:val="009B5651"/>
    <w:rsid w:val="009B62E4"/>
    <w:rsid w:val="009B706A"/>
    <w:rsid w:val="009C4319"/>
    <w:rsid w:val="009D109E"/>
    <w:rsid w:val="009D1CD9"/>
    <w:rsid w:val="009D1F28"/>
    <w:rsid w:val="009D28E5"/>
    <w:rsid w:val="009D4830"/>
    <w:rsid w:val="009D520D"/>
    <w:rsid w:val="009D797A"/>
    <w:rsid w:val="009E026A"/>
    <w:rsid w:val="009E3B56"/>
    <w:rsid w:val="009E49B5"/>
    <w:rsid w:val="009E551E"/>
    <w:rsid w:val="009E7066"/>
    <w:rsid w:val="009F1EF8"/>
    <w:rsid w:val="009F4604"/>
    <w:rsid w:val="009F4B78"/>
    <w:rsid w:val="009F606B"/>
    <w:rsid w:val="009F6E66"/>
    <w:rsid w:val="009F7888"/>
    <w:rsid w:val="00A02AC3"/>
    <w:rsid w:val="00A06840"/>
    <w:rsid w:val="00A06EAD"/>
    <w:rsid w:val="00A1293C"/>
    <w:rsid w:val="00A14F9B"/>
    <w:rsid w:val="00A167F1"/>
    <w:rsid w:val="00A2085F"/>
    <w:rsid w:val="00A20EC0"/>
    <w:rsid w:val="00A2150B"/>
    <w:rsid w:val="00A215D9"/>
    <w:rsid w:val="00A2292C"/>
    <w:rsid w:val="00A23FC3"/>
    <w:rsid w:val="00A25F1B"/>
    <w:rsid w:val="00A3288D"/>
    <w:rsid w:val="00A329DC"/>
    <w:rsid w:val="00A41135"/>
    <w:rsid w:val="00A41FEB"/>
    <w:rsid w:val="00A42FBA"/>
    <w:rsid w:val="00A44DA6"/>
    <w:rsid w:val="00A50921"/>
    <w:rsid w:val="00A5160D"/>
    <w:rsid w:val="00A56CA4"/>
    <w:rsid w:val="00A65F04"/>
    <w:rsid w:val="00A65F2E"/>
    <w:rsid w:val="00A7086D"/>
    <w:rsid w:val="00A71AD5"/>
    <w:rsid w:val="00A8073E"/>
    <w:rsid w:val="00A80883"/>
    <w:rsid w:val="00A81BED"/>
    <w:rsid w:val="00A82FC6"/>
    <w:rsid w:val="00A85A0D"/>
    <w:rsid w:val="00A92270"/>
    <w:rsid w:val="00AA10AE"/>
    <w:rsid w:val="00AA329F"/>
    <w:rsid w:val="00AA7B6A"/>
    <w:rsid w:val="00AB593E"/>
    <w:rsid w:val="00AB5D37"/>
    <w:rsid w:val="00AB683F"/>
    <w:rsid w:val="00AC4A2E"/>
    <w:rsid w:val="00AD1885"/>
    <w:rsid w:val="00AD50BA"/>
    <w:rsid w:val="00AE02E7"/>
    <w:rsid w:val="00AE0F75"/>
    <w:rsid w:val="00AE319E"/>
    <w:rsid w:val="00AE3B2C"/>
    <w:rsid w:val="00AE3B4E"/>
    <w:rsid w:val="00AE676F"/>
    <w:rsid w:val="00AE709C"/>
    <w:rsid w:val="00AE7DD9"/>
    <w:rsid w:val="00AF2B38"/>
    <w:rsid w:val="00B004C1"/>
    <w:rsid w:val="00B0168B"/>
    <w:rsid w:val="00B03458"/>
    <w:rsid w:val="00B04B8E"/>
    <w:rsid w:val="00B1072F"/>
    <w:rsid w:val="00B15820"/>
    <w:rsid w:val="00B215D8"/>
    <w:rsid w:val="00B2218A"/>
    <w:rsid w:val="00B246ED"/>
    <w:rsid w:val="00B26DD0"/>
    <w:rsid w:val="00B338C8"/>
    <w:rsid w:val="00B341CC"/>
    <w:rsid w:val="00B35321"/>
    <w:rsid w:val="00B35505"/>
    <w:rsid w:val="00B35CB3"/>
    <w:rsid w:val="00B35E0A"/>
    <w:rsid w:val="00B40124"/>
    <w:rsid w:val="00B40B86"/>
    <w:rsid w:val="00B42E03"/>
    <w:rsid w:val="00B443E2"/>
    <w:rsid w:val="00B46222"/>
    <w:rsid w:val="00B54092"/>
    <w:rsid w:val="00B5444C"/>
    <w:rsid w:val="00B5568B"/>
    <w:rsid w:val="00B557BF"/>
    <w:rsid w:val="00B55BD6"/>
    <w:rsid w:val="00B56147"/>
    <w:rsid w:val="00B5720A"/>
    <w:rsid w:val="00B604A0"/>
    <w:rsid w:val="00B60761"/>
    <w:rsid w:val="00B620A5"/>
    <w:rsid w:val="00B62BB1"/>
    <w:rsid w:val="00B63559"/>
    <w:rsid w:val="00B73979"/>
    <w:rsid w:val="00B751B0"/>
    <w:rsid w:val="00B762E0"/>
    <w:rsid w:val="00B86188"/>
    <w:rsid w:val="00B86C54"/>
    <w:rsid w:val="00B874C4"/>
    <w:rsid w:val="00B97AA2"/>
    <w:rsid w:val="00B97B8E"/>
    <w:rsid w:val="00BA00A8"/>
    <w:rsid w:val="00BA0378"/>
    <w:rsid w:val="00BA37A4"/>
    <w:rsid w:val="00BA4FB0"/>
    <w:rsid w:val="00BA6138"/>
    <w:rsid w:val="00BB1930"/>
    <w:rsid w:val="00BB3478"/>
    <w:rsid w:val="00BC2247"/>
    <w:rsid w:val="00BC5572"/>
    <w:rsid w:val="00BD497C"/>
    <w:rsid w:val="00BD57EE"/>
    <w:rsid w:val="00BE4E8A"/>
    <w:rsid w:val="00BF2A79"/>
    <w:rsid w:val="00BF375F"/>
    <w:rsid w:val="00C02372"/>
    <w:rsid w:val="00C044C3"/>
    <w:rsid w:val="00C10453"/>
    <w:rsid w:val="00C12E60"/>
    <w:rsid w:val="00C13BCA"/>
    <w:rsid w:val="00C141B9"/>
    <w:rsid w:val="00C158CF"/>
    <w:rsid w:val="00C16518"/>
    <w:rsid w:val="00C1787D"/>
    <w:rsid w:val="00C20F14"/>
    <w:rsid w:val="00C22B7C"/>
    <w:rsid w:val="00C23B8E"/>
    <w:rsid w:val="00C3184D"/>
    <w:rsid w:val="00C331FD"/>
    <w:rsid w:val="00C34DCB"/>
    <w:rsid w:val="00C36D0C"/>
    <w:rsid w:val="00C3708D"/>
    <w:rsid w:val="00C4138A"/>
    <w:rsid w:val="00C440B4"/>
    <w:rsid w:val="00C446F9"/>
    <w:rsid w:val="00C462CB"/>
    <w:rsid w:val="00C46F39"/>
    <w:rsid w:val="00C47AFE"/>
    <w:rsid w:val="00C5067F"/>
    <w:rsid w:val="00C515C3"/>
    <w:rsid w:val="00C51AA2"/>
    <w:rsid w:val="00C52E43"/>
    <w:rsid w:val="00C56CD4"/>
    <w:rsid w:val="00C609C3"/>
    <w:rsid w:val="00C60E16"/>
    <w:rsid w:val="00C65E4E"/>
    <w:rsid w:val="00C66610"/>
    <w:rsid w:val="00C66648"/>
    <w:rsid w:val="00C66FEF"/>
    <w:rsid w:val="00C70CB4"/>
    <w:rsid w:val="00C727A7"/>
    <w:rsid w:val="00C728D5"/>
    <w:rsid w:val="00C72CF7"/>
    <w:rsid w:val="00C75119"/>
    <w:rsid w:val="00C76DD6"/>
    <w:rsid w:val="00C90B62"/>
    <w:rsid w:val="00C91C08"/>
    <w:rsid w:val="00C959F3"/>
    <w:rsid w:val="00C97F0E"/>
    <w:rsid w:val="00CA06AC"/>
    <w:rsid w:val="00CA1D9E"/>
    <w:rsid w:val="00CA242A"/>
    <w:rsid w:val="00CA27BD"/>
    <w:rsid w:val="00CA2AB6"/>
    <w:rsid w:val="00CA36DE"/>
    <w:rsid w:val="00CA4BCC"/>
    <w:rsid w:val="00CA5313"/>
    <w:rsid w:val="00CB01D6"/>
    <w:rsid w:val="00CB311E"/>
    <w:rsid w:val="00CB71E1"/>
    <w:rsid w:val="00CC0ED3"/>
    <w:rsid w:val="00CC1894"/>
    <w:rsid w:val="00CC2EE2"/>
    <w:rsid w:val="00CC3D03"/>
    <w:rsid w:val="00CC45DB"/>
    <w:rsid w:val="00CC5651"/>
    <w:rsid w:val="00CC73FF"/>
    <w:rsid w:val="00CD141E"/>
    <w:rsid w:val="00CD45DA"/>
    <w:rsid w:val="00CE2EA4"/>
    <w:rsid w:val="00CE5714"/>
    <w:rsid w:val="00CE6138"/>
    <w:rsid w:val="00CE6F59"/>
    <w:rsid w:val="00CE7AAB"/>
    <w:rsid w:val="00CF2673"/>
    <w:rsid w:val="00CF2DA1"/>
    <w:rsid w:val="00CF43B1"/>
    <w:rsid w:val="00D0614B"/>
    <w:rsid w:val="00D06AD1"/>
    <w:rsid w:val="00D17549"/>
    <w:rsid w:val="00D24D97"/>
    <w:rsid w:val="00D275F5"/>
    <w:rsid w:val="00D376F1"/>
    <w:rsid w:val="00D43CA8"/>
    <w:rsid w:val="00D4523D"/>
    <w:rsid w:val="00D4593F"/>
    <w:rsid w:val="00D45BD4"/>
    <w:rsid w:val="00D4775B"/>
    <w:rsid w:val="00D47AB8"/>
    <w:rsid w:val="00D55D94"/>
    <w:rsid w:val="00D56566"/>
    <w:rsid w:val="00D6103C"/>
    <w:rsid w:val="00D647A4"/>
    <w:rsid w:val="00D6487A"/>
    <w:rsid w:val="00D648BB"/>
    <w:rsid w:val="00D64E04"/>
    <w:rsid w:val="00D65A5E"/>
    <w:rsid w:val="00D669D1"/>
    <w:rsid w:val="00D7049A"/>
    <w:rsid w:val="00D704F6"/>
    <w:rsid w:val="00D722B1"/>
    <w:rsid w:val="00D74A82"/>
    <w:rsid w:val="00D753F6"/>
    <w:rsid w:val="00D7737D"/>
    <w:rsid w:val="00D80897"/>
    <w:rsid w:val="00D81375"/>
    <w:rsid w:val="00D8540E"/>
    <w:rsid w:val="00D85C4D"/>
    <w:rsid w:val="00D8730B"/>
    <w:rsid w:val="00D9072A"/>
    <w:rsid w:val="00D94852"/>
    <w:rsid w:val="00DA039C"/>
    <w:rsid w:val="00DA10B4"/>
    <w:rsid w:val="00DA6EBE"/>
    <w:rsid w:val="00DB0350"/>
    <w:rsid w:val="00DB27CC"/>
    <w:rsid w:val="00DB2A54"/>
    <w:rsid w:val="00DB4EF9"/>
    <w:rsid w:val="00DC29FE"/>
    <w:rsid w:val="00DC430C"/>
    <w:rsid w:val="00DC60FB"/>
    <w:rsid w:val="00DC7319"/>
    <w:rsid w:val="00DC742E"/>
    <w:rsid w:val="00DD38DC"/>
    <w:rsid w:val="00DD63FF"/>
    <w:rsid w:val="00DF1BBF"/>
    <w:rsid w:val="00DF3145"/>
    <w:rsid w:val="00DF4B0E"/>
    <w:rsid w:val="00E01E4B"/>
    <w:rsid w:val="00E062B0"/>
    <w:rsid w:val="00E0711E"/>
    <w:rsid w:val="00E0770C"/>
    <w:rsid w:val="00E14DFA"/>
    <w:rsid w:val="00E17EA5"/>
    <w:rsid w:val="00E229DB"/>
    <w:rsid w:val="00E2571A"/>
    <w:rsid w:val="00E26EDC"/>
    <w:rsid w:val="00E2713C"/>
    <w:rsid w:val="00E30B42"/>
    <w:rsid w:val="00E342D7"/>
    <w:rsid w:val="00E34D1F"/>
    <w:rsid w:val="00E35C26"/>
    <w:rsid w:val="00E410EA"/>
    <w:rsid w:val="00E41D5C"/>
    <w:rsid w:val="00E437F7"/>
    <w:rsid w:val="00E529F9"/>
    <w:rsid w:val="00E55017"/>
    <w:rsid w:val="00E55416"/>
    <w:rsid w:val="00E557D1"/>
    <w:rsid w:val="00E56282"/>
    <w:rsid w:val="00E616BF"/>
    <w:rsid w:val="00E658AA"/>
    <w:rsid w:val="00E6656A"/>
    <w:rsid w:val="00E70D30"/>
    <w:rsid w:val="00E716BA"/>
    <w:rsid w:val="00E75977"/>
    <w:rsid w:val="00E76431"/>
    <w:rsid w:val="00E7686D"/>
    <w:rsid w:val="00E813BA"/>
    <w:rsid w:val="00E8590C"/>
    <w:rsid w:val="00E85F76"/>
    <w:rsid w:val="00E93590"/>
    <w:rsid w:val="00E94506"/>
    <w:rsid w:val="00E95A7B"/>
    <w:rsid w:val="00E969E9"/>
    <w:rsid w:val="00EA01A0"/>
    <w:rsid w:val="00EA155A"/>
    <w:rsid w:val="00EA24D4"/>
    <w:rsid w:val="00EA2851"/>
    <w:rsid w:val="00EA3515"/>
    <w:rsid w:val="00EA55FE"/>
    <w:rsid w:val="00EB0B4F"/>
    <w:rsid w:val="00EB1B59"/>
    <w:rsid w:val="00EB4384"/>
    <w:rsid w:val="00EB6065"/>
    <w:rsid w:val="00EC0826"/>
    <w:rsid w:val="00EC4E99"/>
    <w:rsid w:val="00EC7E23"/>
    <w:rsid w:val="00ED3A21"/>
    <w:rsid w:val="00ED54F9"/>
    <w:rsid w:val="00ED6982"/>
    <w:rsid w:val="00EE0218"/>
    <w:rsid w:val="00EE0E54"/>
    <w:rsid w:val="00EE1033"/>
    <w:rsid w:val="00EE114E"/>
    <w:rsid w:val="00EF24BB"/>
    <w:rsid w:val="00EF2B90"/>
    <w:rsid w:val="00EF32F6"/>
    <w:rsid w:val="00EF4114"/>
    <w:rsid w:val="00EF448F"/>
    <w:rsid w:val="00EF4634"/>
    <w:rsid w:val="00EF472E"/>
    <w:rsid w:val="00EF4A5A"/>
    <w:rsid w:val="00EF4EC4"/>
    <w:rsid w:val="00EF66A9"/>
    <w:rsid w:val="00EF74D8"/>
    <w:rsid w:val="00F01898"/>
    <w:rsid w:val="00F05EE0"/>
    <w:rsid w:val="00F06985"/>
    <w:rsid w:val="00F07DE8"/>
    <w:rsid w:val="00F156B3"/>
    <w:rsid w:val="00F15FD8"/>
    <w:rsid w:val="00F21A1A"/>
    <w:rsid w:val="00F22813"/>
    <w:rsid w:val="00F22FC8"/>
    <w:rsid w:val="00F27F36"/>
    <w:rsid w:val="00F32B8C"/>
    <w:rsid w:val="00F33383"/>
    <w:rsid w:val="00F33D5B"/>
    <w:rsid w:val="00F4030B"/>
    <w:rsid w:val="00F42F65"/>
    <w:rsid w:val="00F444F5"/>
    <w:rsid w:val="00F4602E"/>
    <w:rsid w:val="00F46BCF"/>
    <w:rsid w:val="00F515AF"/>
    <w:rsid w:val="00F53E05"/>
    <w:rsid w:val="00F5550A"/>
    <w:rsid w:val="00F55A56"/>
    <w:rsid w:val="00F56088"/>
    <w:rsid w:val="00F6031D"/>
    <w:rsid w:val="00F61303"/>
    <w:rsid w:val="00F65606"/>
    <w:rsid w:val="00F66614"/>
    <w:rsid w:val="00F67764"/>
    <w:rsid w:val="00F71232"/>
    <w:rsid w:val="00F74722"/>
    <w:rsid w:val="00F75F45"/>
    <w:rsid w:val="00F82957"/>
    <w:rsid w:val="00F83BD2"/>
    <w:rsid w:val="00F857CA"/>
    <w:rsid w:val="00F92C2B"/>
    <w:rsid w:val="00F94241"/>
    <w:rsid w:val="00F945CD"/>
    <w:rsid w:val="00F95ECF"/>
    <w:rsid w:val="00F9792C"/>
    <w:rsid w:val="00F97AAA"/>
    <w:rsid w:val="00FA4AD8"/>
    <w:rsid w:val="00FB3597"/>
    <w:rsid w:val="00FB53CA"/>
    <w:rsid w:val="00FC3750"/>
    <w:rsid w:val="00FC487C"/>
    <w:rsid w:val="00FC51A5"/>
    <w:rsid w:val="00FD0B36"/>
    <w:rsid w:val="00FD168A"/>
    <w:rsid w:val="00FD3643"/>
    <w:rsid w:val="00FD553C"/>
    <w:rsid w:val="00FD6F5E"/>
    <w:rsid w:val="00FE087D"/>
    <w:rsid w:val="00FE133D"/>
    <w:rsid w:val="00FE2090"/>
    <w:rsid w:val="00FE359D"/>
    <w:rsid w:val="00FE47EA"/>
    <w:rsid w:val="00FE4D5F"/>
    <w:rsid w:val="00FE7BC4"/>
    <w:rsid w:val="00FF29D4"/>
    <w:rsid w:val="00FF388D"/>
    <w:rsid w:val="015D324F"/>
    <w:rsid w:val="030F350D"/>
    <w:rsid w:val="0B965654"/>
    <w:rsid w:val="18D3036A"/>
    <w:rsid w:val="20435A6D"/>
    <w:rsid w:val="2918442C"/>
    <w:rsid w:val="34480132"/>
    <w:rsid w:val="34E336C3"/>
    <w:rsid w:val="39BA5CDA"/>
    <w:rsid w:val="472A0455"/>
    <w:rsid w:val="4B60116C"/>
    <w:rsid w:val="4FCB0C01"/>
    <w:rsid w:val="541F2B08"/>
    <w:rsid w:val="562337B3"/>
    <w:rsid w:val="58A3650F"/>
    <w:rsid w:val="5A95732A"/>
    <w:rsid w:val="633120B2"/>
    <w:rsid w:val="66887AD1"/>
    <w:rsid w:val="722255C5"/>
    <w:rsid w:val="78E7683E"/>
    <w:rsid w:val="7EAD4B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qFormat="1" w:unhideWhenUsed="0" w:uiPriority="0" w:name="footnote text"/>
    <w:lsdException w:qFormat="1" w:uiPriority="99" w:name="annotation text"/>
    <w:lsdException w:qFormat="1" w:unhideWhenUsed="0" w:uiPriority="0" w:semiHidden="0" w:name="header"/>
    <w:lsdException w:qFormat="1" w:unhideWhenUsed="0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nhideWhenUsed="0" w:uiPriority="0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eastAsia="MS Mincho" w:cs="Times New Roman"/>
      <w:sz w:val="24"/>
      <w:szCs w:val="24"/>
      <w:lang w:val="de-DE" w:eastAsia="ja-JP" w:bidi="ar-SA"/>
    </w:rPr>
  </w:style>
  <w:style w:type="character" w:default="1" w:styleId="10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annotation text"/>
    <w:basedOn w:val="1"/>
    <w:link w:val="49"/>
    <w:semiHidden/>
    <w:unhideWhenUsed/>
    <w:qFormat/>
    <w:uiPriority w:val="99"/>
    <w:rPr>
      <w:sz w:val="20"/>
      <w:szCs w:val="20"/>
      <w:lang w:val="zh-CN"/>
    </w:rPr>
  </w:style>
  <w:style w:type="paragraph" w:styleId="3">
    <w:name w:val="Balloon Text"/>
    <w:basedOn w:val="1"/>
    <w:semiHidden/>
    <w:qFormat/>
    <w:uiPriority w:val="0"/>
    <w:rPr>
      <w:rFonts w:ascii="Tahoma" w:hAnsi="Tahoma" w:cs="Tahoma"/>
      <w:sz w:val="16"/>
      <w:szCs w:val="16"/>
    </w:rPr>
  </w:style>
  <w:style w:type="paragraph" w:styleId="4">
    <w:name w:val="footer"/>
    <w:basedOn w:val="1"/>
    <w:link w:val="51"/>
    <w:qFormat/>
    <w:uiPriority w:val="99"/>
    <w:pPr>
      <w:tabs>
        <w:tab w:val="center" w:pos="4536"/>
        <w:tab w:val="right" w:pos="9072"/>
      </w:tabs>
    </w:pPr>
  </w:style>
  <w:style w:type="paragraph" w:styleId="5">
    <w:name w:val="header"/>
    <w:basedOn w:val="1"/>
    <w:link w:val="48"/>
    <w:qFormat/>
    <w:uiPriority w:val="0"/>
    <w:pPr>
      <w:tabs>
        <w:tab w:val="center" w:pos="4536"/>
        <w:tab w:val="right" w:pos="9072"/>
      </w:tabs>
    </w:pPr>
    <w:rPr>
      <w:lang w:val="zh-CN"/>
    </w:rPr>
  </w:style>
  <w:style w:type="paragraph" w:styleId="6">
    <w:name w:val="footnote text"/>
    <w:basedOn w:val="1"/>
    <w:semiHidden/>
    <w:qFormat/>
    <w:uiPriority w:val="0"/>
    <w:pPr>
      <w:keepLines/>
      <w:widowControl w:val="0"/>
      <w:jc w:val="both"/>
    </w:pPr>
    <w:rPr>
      <w:rFonts w:eastAsia="Times New Roman"/>
      <w:sz w:val="20"/>
      <w:szCs w:val="20"/>
      <w:lang w:val="en-GB" w:eastAsia="ro-RO"/>
    </w:rPr>
  </w:style>
  <w:style w:type="paragraph" w:styleId="7">
    <w:name w:val="Normal (Web)"/>
    <w:basedOn w:val="1"/>
    <w:semiHidden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annotation subject"/>
    <w:basedOn w:val="2"/>
    <w:next w:val="2"/>
    <w:link w:val="50"/>
    <w:semiHidden/>
    <w:unhideWhenUsed/>
    <w:qFormat/>
    <w:uiPriority w:val="99"/>
    <w:rPr>
      <w:b/>
      <w:bCs/>
    </w:rPr>
  </w:style>
  <w:style w:type="character" w:styleId="11">
    <w:name w:val="Strong"/>
    <w:basedOn w:val="10"/>
    <w:qFormat/>
    <w:uiPriority w:val="22"/>
    <w:rPr>
      <w:b/>
    </w:rPr>
  </w:style>
  <w:style w:type="character" w:styleId="12">
    <w:name w:val="annotation reference"/>
    <w:semiHidden/>
    <w:unhideWhenUsed/>
    <w:qFormat/>
    <w:uiPriority w:val="99"/>
    <w:rPr>
      <w:sz w:val="16"/>
      <w:szCs w:val="16"/>
    </w:rPr>
  </w:style>
  <w:style w:type="paragraph" w:customStyle="1" w:styleId="13">
    <w:name w:val="History"/>
    <w:basedOn w:val="1"/>
    <w:qFormat/>
    <w:uiPriority w:val="0"/>
    <w:pPr>
      <w:spacing w:before="230" w:after="460" w:line="180" w:lineRule="exact"/>
      <w:jc w:val="right"/>
    </w:pPr>
    <w:rPr>
      <w:rFonts w:ascii="Arial" w:hAnsi="Arial"/>
      <w:sz w:val="14"/>
      <w:szCs w:val="16"/>
    </w:rPr>
  </w:style>
  <w:style w:type="paragraph" w:customStyle="1" w:styleId="14">
    <w:name w:val="References"/>
    <w:basedOn w:val="1"/>
    <w:qFormat/>
    <w:uiPriority w:val="0"/>
    <w:pPr>
      <w:spacing w:line="200" w:lineRule="exact"/>
      <w:ind w:left="425" w:hanging="425"/>
      <w:jc w:val="both"/>
    </w:pPr>
    <w:rPr>
      <w:sz w:val="15"/>
      <w:szCs w:val="14"/>
      <w:lang w:val="en-GB"/>
    </w:rPr>
  </w:style>
  <w:style w:type="paragraph" w:customStyle="1" w:styleId="15">
    <w:name w:val="HExperimental_Section"/>
    <w:basedOn w:val="1"/>
    <w:qFormat/>
    <w:uiPriority w:val="0"/>
    <w:pPr>
      <w:spacing w:before="460" w:after="230" w:line="230" w:lineRule="atLeast"/>
    </w:pPr>
    <w:rPr>
      <w:i/>
      <w:szCs w:val="20"/>
    </w:rPr>
  </w:style>
  <w:style w:type="paragraph" w:customStyle="1" w:styleId="16">
    <w:name w:val="ExperimentalSection"/>
    <w:basedOn w:val="1"/>
    <w:qFormat/>
    <w:uiPriority w:val="0"/>
    <w:pPr>
      <w:spacing w:after="240" w:line="200" w:lineRule="exact"/>
      <w:ind w:firstLine="170"/>
      <w:jc w:val="both"/>
    </w:pPr>
    <w:rPr>
      <w:sz w:val="16"/>
      <w:szCs w:val="14"/>
      <w:lang w:val="en-GB"/>
    </w:rPr>
  </w:style>
  <w:style w:type="paragraph" w:customStyle="1" w:styleId="17">
    <w:name w:val="FNB"/>
    <w:basedOn w:val="1"/>
    <w:link w:val="18"/>
    <w:qFormat/>
    <w:uiPriority w:val="0"/>
    <w:pPr>
      <w:widowControl w:val="0"/>
      <w:spacing w:after="40" w:line="160" w:lineRule="exact"/>
      <w:ind w:left="567" w:right="4434" w:hanging="567"/>
      <w:jc w:val="both"/>
    </w:pPr>
    <w:rPr>
      <w:rFonts w:ascii="Times" w:hAnsi="Times"/>
      <w:sz w:val="14"/>
      <w:szCs w:val="3276"/>
      <w:lang w:val="en-GB" w:eastAsia="de-DE"/>
    </w:rPr>
  </w:style>
  <w:style w:type="character" w:customStyle="1" w:styleId="18">
    <w:name w:val="FNB Char"/>
    <w:link w:val="17"/>
    <w:qFormat/>
    <w:uiPriority w:val="0"/>
    <w:rPr>
      <w:rFonts w:ascii="Times" w:hAnsi="Times"/>
      <w:sz w:val="14"/>
      <w:szCs w:val="3276"/>
      <w:lang w:val="en-GB" w:eastAsia="de-DE" w:bidi="ar-SA"/>
    </w:rPr>
  </w:style>
  <w:style w:type="paragraph" w:customStyle="1" w:styleId="19">
    <w:name w:val="Ack"/>
    <w:basedOn w:val="1"/>
    <w:qFormat/>
    <w:uiPriority w:val="0"/>
  </w:style>
  <w:style w:type="paragraph" w:customStyle="1" w:styleId="20">
    <w:name w:val="TableCaption"/>
    <w:basedOn w:val="1"/>
    <w:qFormat/>
    <w:uiPriority w:val="0"/>
    <w:pPr>
      <w:spacing w:after="120" w:line="190" w:lineRule="exact"/>
      <w:jc w:val="both"/>
    </w:pPr>
    <w:rPr>
      <w:rFonts w:ascii="Arial" w:hAnsi="Arial"/>
      <w:sz w:val="16"/>
      <w:szCs w:val="14"/>
      <w:lang w:val="en-GB"/>
    </w:rPr>
  </w:style>
  <w:style w:type="paragraph" w:customStyle="1" w:styleId="21">
    <w:name w:val="TableHead"/>
    <w:basedOn w:val="20"/>
    <w:qFormat/>
    <w:uiPriority w:val="0"/>
    <w:pPr>
      <w:pBdr>
        <w:top w:val="single" w:color="FFFFFF" w:sz="4" w:space="4"/>
        <w:left w:val="single" w:color="FFFFFF" w:sz="4" w:space="4"/>
        <w:bottom w:val="single" w:color="FFFFFF" w:sz="4" w:space="4"/>
        <w:right w:val="single" w:color="FFFFFF" w:sz="4" w:space="4"/>
      </w:pBdr>
      <w:spacing w:after="0"/>
    </w:pPr>
  </w:style>
  <w:style w:type="paragraph" w:customStyle="1" w:styleId="22">
    <w:name w:val="TableBody"/>
    <w:basedOn w:val="21"/>
    <w:qFormat/>
    <w:uiPriority w:val="0"/>
  </w:style>
  <w:style w:type="paragraph" w:customStyle="1" w:styleId="23">
    <w:name w:val="TableFoot"/>
    <w:basedOn w:val="22"/>
    <w:qFormat/>
    <w:uiPriority w:val="0"/>
    <w:pPr>
      <w:spacing w:before="60" w:after="60"/>
    </w:pPr>
  </w:style>
  <w:style w:type="paragraph" w:customStyle="1" w:styleId="24">
    <w:name w:val="SchemeCaption"/>
    <w:basedOn w:val="1"/>
    <w:qFormat/>
    <w:uiPriority w:val="0"/>
    <w:pPr>
      <w:spacing w:before="230" w:after="460" w:line="190" w:lineRule="exact"/>
      <w:jc w:val="both"/>
    </w:pPr>
    <w:rPr>
      <w:rFonts w:ascii="Arial" w:hAnsi="Arial"/>
      <w:sz w:val="16"/>
      <w:szCs w:val="14"/>
      <w:lang w:val="en-GB"/>
    </w:rPr>
  </w:style>
  <w:style w:type="paragraph" w:customStyle="1" w:styleId="25">
    <w:name w:val="STOE"/>
    <w:basedOn w:val="1"/>
    <w:link w:val="26"/>
    <w:qFormat/>
    <w:uiPriority w:val="0"/>
    <w:pPr>
      <w:widowControl w:val="0"/>
      <w:spacing w:line="236" w:lineRule="exact"/>
      <w:ind w:right="4434"/>
      <w:jc w:val="both"/>
    </w:pPr>
    <w:rPr>
      <w:rFonts w:ascii="Times" w:hAnsi="Times"/>
      <w:sz w:val="18"/>
      <w:szCs w:val="3276"/>
      <w:lang w:val="en-GB" w:eastAsia="de-DE"/>
    </w:rPr>
  </w:style>
  <w:style w:type="character" w:customStyle="1" w:styleId="26">
    <w:name w:val="STOE Char1"/>
    <w:link w:val="25"/>
    <w:qFormat/>
    <w:uiPriority w:val="0"/>
    <w:rPr>
      <w:rFonts w:ascii="Times" w:hAnsi="Times"/>
      <w:sz w:val="18"/>
      <w:szCs w:val="3276"/>
      <w:lang w:val="en-GB" w:eastAsia="de-DE" w:bidi="ar-SA"/>
    </w:rPr>
  </w:style>
  <w:style w:type="paragraph" w:customStyle="1" w:styleId="27">
    <w:name w:val="Title1"/>
    <w:basedOn w:val="1"/>
    <w:qFormat/>
    <w:uiPriority w:val="0"/>
    <w:rPr>
      <w:b/>
      <w:lang w:val="en-US"/>
    </w:rPr>
  </w:style>
  <w:style w:type="paragraph" w:customStyle="1" w:styleId="28">
    <w:name w:val="Authors Full"/>
    <w:basedOn w:val="1"/>
    <w:qFormat/>
    <w:uiPriority w:val="0"/>
    <w:rPr>
      <w:i/>
      <w:lang w:val="en-US"/>
    </w:rPr>
  </w:style>
  <w:style w:type="paragraph" w:customStyle="1" w:styleId="29">
    <w:name w:val="dedication"/>
    <w:basedOn w:val="1"/>
    <w:qFormat/>
    <w:uiPriority w:val="0"/>
    <w:rPr>
      <w:i/>
      <w:lang w:val="en-US"/>
    </w:rPr>
  </w:style>
  <w:style w:type="paragraph" w:customStyle="1" w:styleId="30">
    <w:name w:val="Addresses"/>
    <w:basedOn w:val="1"/>
    <w:qFormat/>
    <w:uiPriority w:val="0"/>
    <w:rPr>
      <w:lang w:val="en-US"/>
    </w:rPr>
  </w:style>
  <w:style w:type="paragraph" w:customStyle="1" w:styleId="31">
    <w:name w:val="Acknowledgements"/>
    <w:basedOn w:val="1"/>
    <w:qFormat/>
    <w:uiPriority w:val="0"/>
    <w:rPr>
      <w:lang w:val="en-US"/>
    </w:rPr>
  </w:style>
  <w:style w:type="paragraph" w:customStyle="1" w:styleId="32">
    <w:name w:val="Abstract"/>
    <w:basedOn w:val="1"/>
    <w:autoRedefine/>
    <w:qFormat/>
    <w:uiPriority w:val="0"/>
    <w:pPr>
      <w:spacing w:line="480" w:lineRule="auto"/>
    </w:pPr>
    <w:rPr>
      <w:lang w:val="en-US"/>
    </w:rPr>
  </w:style>
  <w:style w:type="paragraph" w:customStyle="1" w:styleId="33">
    <w:name w:val="Head 1"/>
    <w:basedOn w:val="1"/>
    <w:autoRedefine/>
    <w:qFormat/>
    <w:uiPriority w:val="0"/>
    <w:pPr>
      <w:spacing w:line="360" w:lineRule="auto"/>
    </w:pPr>
    <w:rPr>
      <w:b/>
      <w:lang w:val="en-US"/>
    </w:rPr>
  </w:style>
  <w:style w:type="paragraph" w:customStyle="1" w:styleId="34">
    <w:name w:val="Head 2"/>
    <w:basedOn w:val="1"/>
    <w:autoRedefine/>
    <w:qFormat/>
    <w:uiPriority w:val="0"/>
    <w:pPr>
      <w:spacing w:line="360" w:lineRule="auto"/>
    </w:pPr>
    <w:rPr>
      <w:i/>
      <w:lang w:val="en-US"/>
    </w:rPr>
  </w:style>
  <w:style w:type="paragraph" w:customStyle="1" w:styleId="35">
    <w:name w:val="dates"/>
    <w:basedOn w:val="1"/>
    <w:qFormat/>
    <w:uiPriority w:val="0"/>
    <w:pPr>
      <w:jc w:val="right"/>
    </w:pPr>
    <w:rPr>
      <w:lang w:val="en-US"/>
    </w:rPr>
  </w:style>
  <w:style w:type="paragraph" w:customStyle="1" w:styleId="36">
    <w:name w:val="Literature"/>
    <w:basedOn w:val="1"/>
    <w:qFormat/>
    <w:uiPriority w:val="0"/>
    <w:pPr>
      <w:spacing w:line="480" w:lineRule="auto"/>
    </w:pPr>
  </w:style>
  <w:style w:type="paragraph" w:customStyle="1" w:styleId="37">
    <w:name w:val="Legend"/>
    <w:basedOn w:val="1"/>
    <w:qFormat/>
    <w:uiPriority w:val="0"/>
    <w:rPr>
      <w:lang w:val="en-US"/>
    </w:rPr>
  </w:style>
  <w:style w:type="paragraph" w:customStyle="1" w:styleId="38">
    <w:name w:val="Main Text"/>
    <w:basedOn w:val="1"/>
    <w:link w:val="42"/>
    <w:qFormat/>
    <w:uiPriority w:val="0"/>
    <w:pPr>
      <w:spacing w:line="480" w:lineRule="auto"/>
    </w:pPr>
    <w:rPr>
      <w:lang w:val="en-US"/>
    </w:rPr>
  </w:style>
  <w:style w:type="paragraph" w:customStyle="1" w:styleId="39">
    <w:name w:val="Table of contents"/>
    <w:basedOn w:val="1"/>
    <w:autoRedefine/>
    <w:qFormat/>
    <w:uiPriority w:val="0"/>
    <w:rPr>
      <w:lang w:val="en-US"/>
    </w:rPr>
  </w:style>
  <w:style w:type="paragraph" w:customStyle="1" w:styleId="40">
    <w:name w:val="Experimental Text"/>
    <w:basedOn w:val="1"/>
    <w:link w:val="41"/>
    <w:qFormat/>
    <w:uiPriority w:val="0"/>
    <w:pPr>
      <w:spacing w:line="480" w:lineRule="auto"/>
    </w:pPr>
    <w:rPr>
      <w:lang w:val="en-US"/>
    </w:rPr>
  </w:style>
  <w:style w:type="character" w:customStyle="1" w:styleId="41">
    <w:name w:val="Experimental Text Char"/>
    <w:link w:val="40"/>
    <w:qFormat/>
    <w:uiPriority w:val="0"/>
    <w:rPr>
      <w:rFonts w:eastAsia="MS Mincho"/>
      <w:sz w:val="24"/>
      <w:szCs w:val="24"/>
      <w:lang w:val="en-US" w:eastAsia="ja-JP" w:bidi="ar-SA"/>
    </w:rPr>
  </w:style>
  <w:style w:type="character" w:customStyle="1" w:styleId="42">
    <w:name w:val="Main Text Char"/>
    <w:link w:val="38"/>
    <w:qFormat/>
    <w:uiPriority w:val="0"/>
    <w:rPr>
      <w:rFonts w:eastAsia="MS Mincho"/>
      <w:sz w:val="24"/>
      <w:szCs w:val="24"/>
      <w:lang w:val="en-US" w:eastAsia="ja-JP" w:bidi="ar-SA"/>
    </w:rPr>
  </w:style>
  <w:style w:type="paragraph" w:customStyle="1" w:styleId="43">
    <w:name w:val="Title2"/>
    <w:basedOn w:val="1"/>
    <w:qFormat/>
    <w:uiPriority w:val="0"/>
    <w:rPr>
      <w:b/>
      <w:lang w:val="en-US"/>
    </w:rPr>
  </w:style>
  <w:style w:type="paragraph" w:customStyle="1" w:styleId="44">
    <w:name w:val="Dedication"/>
    <w:basedOn w:val="1"/>
    <w:autoRedefine/>
    <w:qFormat/>
    <w:uiPriority w:val="0"/>
    <w:rPr>
      <w:lang w:val="en-US"/>
    </w:rPr>
  </w:style>
  <w:style w:type="paragraph" w:customStyle="1" w:styleId="45">
    <w:name w:val="Main text"/>
    <w:basedOn w:val="1"/>
    <w:link w:val="46"/>
    <w:autoRedefine/>
    <w:qFormat/>
    <w:uiPriority w:val="0"/>
    <w:pPr>
      <w:spacing w:line="480" w:lineRule="auto"/>
    </w:pPr>
    <w:rPr>
      <w:lang w:val="en-US"/>
    </w:rPr>
  </w:style>
  <w:style w:type="character" w:customStyle="1" w:styleId="46">
    <w:name w:val="Main text Char"/>
    <w:link w:val="45"/>
    <w:qFormat/>
    <w:uiPriority w:val="0"/>
    <w:rPr>
      <w:sz w:val="24"/>
      <w:szCs w:val="24"/>
      <w:lang w:val="en-US" w:eastAsia="ja-JP"/>
    </w:rPr>
  </w:style>
  <w:style w:type="paragraph" w:customStyle="1" w:styleId="47">
    <w:name w:val="Biography"/>
    <w:basedOn w:val="1"/>
    <w:autoRedefine/>
    <w:qFormat/>
    <w:uiPriority w:val="0"/>
    <w:rPr>
      <w:i/>
      <w:lang w:val="en-US"/>
    </w:rPr>
  </w:style>
  <w:style w:type="character" w:customStyle="1" w:styleId="48">
    <w:name w:val="页眉 字符"/>
    <w:link w:val="5"/>
    <w:qFormat/>
    <w:uiPriority w:val="0"/>
    <w:rPr>
      <w:sz w:val="24"/>
      <w:szCs w:val="24"/>
      <w:lang w:eastAsia="ja-JP"/>
    </w:rPr>
  </w:style>
  <w:style w:type="character" w:customStyle="1" w:styleId="49">
    <w:name w:val="批注文字 字符"/>
    <w:link w:val="2"/>
    <w:semiHidden/>
    <w:qFormat/>
    <w:uiPriority w:val="99"/>
    <w:rPr>
      <w:lang w:eastAsia="ja-JP"/>
    </w:rPr>
  </w:style>
  <w:style w:type="character" w:customStyle="1" w:styleId="50">
    <w:name w:val="批注主题 字符"/>
    <w:link w:val="8"/>
    <w:semiHidden/>
    <w:qFormat/>
    <w:uiPriority w:val="99"/>
    <w:rPr>
      <w:b/>
      <w:bCs/>
      <w:lang w:eastAsia="ja-JP"/>
    </w:rPr>
  </w:style>
  <w:style w:type="character" w:customStyle="1" w:styleId="51">
    <w:name w:val="页脚 字符"/>
    <w:link w:val="4"/>
    <w:qFormat/>
    <w:uiPriority w:val="99"/>
    <w:rPr>
      <w:sz w:val="24"/>
      <w:szCs w:val="24"/>
      <w:lang w:eastAsia="ja-JP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tiff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0" Type="http://schemas.openxmlformats.org/officeDocument/2006/relationships/fontTable" Target="fontTable.xml"/><Relationship Id="rId3" Type="http://schemas.openxmlformats.org/officeDocument/2006/relationships/header" Target="header1.xml"/><Relationship Id="rId29" Type="http://schemas.openxmlformats.org/officeDocument/2006/relationships/customXml" Target="../customXml/item5.xml"/><Relationship Id="rId28" Type="http://schemas.openxmlformats.org/officeDocument/2006/relationships/customXml" Target="../customXml/item4.xml"/><Relationship Id="rId27" Type="http://schemas.openxmlformats.org/officeDocument/2006/relationships/customXml" Target="../customXml/item3.xml"/><Relationship Id="rId26" Type="http://schemas.openxmlformats.org/officeDocument/2006/relationships/customXml" Target="../customXml/item2.xml"/><Relationship Id="rId25" Type="http://schemas.openxmlformats.org/officeDocument/2006/relationships/customXml" Target="../customXml/item1.xml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tiff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tiff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70446C3525B3CB46BD92ABA5C2617223" ma:contentTypeVersion="12" ma:contentTypeDescription="Ein neues Dokument erstellen." ma:contentTypeScope="" ma:versionID="ace6bbd061d3e3241e07436f437a906c">
  <xsd:schema xmlns:xsd="http://www.w3.org/2001/XMLSchema" xmlns:xs="http://www.w3.org/2001/XMLSchema" xmlns:p="http://schemas.microsoft.com/office/2006/metadata/properties" xmlns:ns2="981f2fdf-0e4d-4708-9882-12f25bf7d4fe" xmlns:ns3="4fe7dd48-639f-4daa-8770-f50527565b0b" targetNamespace="http://schemas.microsoft.com/office/2006/metadata/properties" ma:root="true" ma:fieldsID="645148a839964f4ba651d3ea90aa0208" ns2:_="" ns3:_="">
    <xsd:import namespace="981f2fdf-0e4d-4708-9882-12f25bf7d4fe"/>
    <xsd:import namespace="4fe7dd48-639f-4daa-8770-f50527565b0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81f2fdf-0e4d-4708-9882-12f25bf7d4f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fe7dd48-639f-4daa-8770-f50527565b0b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Freigegeben für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Freigegeben für -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ControlsStorage xmlns="urn:schemas-microsoft-com.VSTO2008Demos.ControlsStorage">
  <Controls>AAEAAAD/////AQAAAAAAAAAMAgAAAEVDaGVtNFdvcmQuQ29yZSwgVmVyc2lvbj0xLjAuMC4wLCBDdWx0dXJlPW5ldXRyYWwsIFB1YmxpY0tleVRva2VuPW51bGwHAQAAAAABAAAAAAAAAAQgQ2hlbTRXb3JkLkNvcmUuQ29udHJvbFByb3BlcnRpZXMCAAAACw==</Controls>
</ControlsStorage>
</file>

<file path=customXml/itemProps1.xml><?xml version="1.0" encoding="utf-8"?>
<ds:datastoreItem xmlns:ds="http://schemas.openxmlformats.org/officeDocument/2006/customXml" ds:itemID="{C8027C8C-6165-41CA-A80C-E05246DBC330}">
  <ds:schemaRefs/>
</ds:datastoreItem>
</file>

<file path=customXml/itemProps2.xml><?xml version="1.0" encoding="utf-8"?>
<ds:datastoreItem xmlns:ds="http://schemas.openxmlformats.org/officeDocument/2006/customXml" ds:itemID="{75886F76-A765-4714-B899-7AC2DC4334A1}">
  <ds:schemaRefs/>
</ds:datastoreItem>
</file>

<file path=customXml/itemProps3.xml><?xml version="1.0" encoding="utf-8"?>
<ds:datastoreItem xmlns:ds="http://schemas.openxmlformats.org/officeDocument/2006/customXml" ds:itemID="{96D19C85-73BE-4F5D-979F-58BFDE5BBE12}">
  <ds:schemaRefs/>
</ds:datastoreItem>
</file>

<file path=customXml/itemProps4.xml><?xml version="1.0" encoding="utf-8"?>
<ds:datastoreItem xmlns:ds="http://schemas.openxmlformats.org/officeDocument/2006/customXml" ds:itemID="{C86C925C-E763-4769-9959-2FEDA6D7CE8A}">
  <ds:schemaRefs/>
</ds:datastoreItem>
</file>

<file path=customXml/itemProps5.xml><?xml version="1.0" encoding="utf-8"?>
<ds:datastoreItem xmlns:ds="http://schemas.openxmlformats.org/officeDocument/2006/customXml" ds:itemID="{E3F19EBF-8207-4BE7-AD18-240ED1895C11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15</Pages>
  <Words>603</Words>
  <Characters>3681</Characters>
  <Lines>49</Lines>
  <Paragraphs>13</Paragraphs>
  <TotalTime>0</TotalTime>
  <ScaleCrop>false</ScaleCrop>
  <LinksUpToDate>false</LinksUpToDate>
  <CharactersWithSpaces>4254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2024-09-08T14:38:00Z</dcterms:created>
  <dcterms:modified xsi:type="dcterms:W3CDTF">2025-06-11T17:15:21Z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0x01010070446C3525B3CB46BD92ABA5C2617223</vt:lpwstr>
  </property>
  <property fmtid="{D5CDD505-2E9C-101B-9397-08002B2CF9AE}" pid="3" name="KSOTemplateDocerSaveRecord">
    <vt:lpwstr>eyJoZGlkIjoiN2Y2ZjU4MDVjYjc4NmM2YzAxNzQ4MWRmODNjNzU5MzAiLCJ1c2VySWQiOiIzNTgxNTExMjgifQ==</vt:lpwstr>
  </property>
  <property fmtid="{D5CDD505-2E9C-101B-9397-08002B2CF9AE}" pid="4" name="KSOProductBuildVer">
    <vt:lpwstr>2052-12.1.0.20784</vt:lpwstr>
  </property>
  <property fmtid="{D5CDD505-2E9C-101B-9397-08002B2CF9AE}" pid="5" name="ICV">
    <vt:lpwstr>90FE441EF1484AE1A81F88C40F4D9E5F_13</vt:lpwstr>
  </property>
</Properties>
</file>