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BA39F" w14:textId="109ADAD2" w:rsidR="00250343" w:rsidRPr="00B5385F" w:rsidRDefault="00F16DB3" w:rsidP="00EE5003">
      <w:pPr>
        <w:pStyle w:val="Caption"/>
        <w:keepNext/>
        <w:jc w:val="both"/>
        <w:rPr>
          <w:b/>
          <w:bCs/>
          <w:i w:val="0"/>
          <w:iCs w:val="0"/>
          <w:color w:val="auto"/>
          <w:sz w:val="20"/>
          <w:szCs w:val="20"/>
        </w:rPr>
      </w:pPr>
      <w:bookmarkStart w:id="0" w:name="_Toc182984980"/>
      <w:bookmarkStart w:id="1" w:name="_Hlk196816138"/>
      <w:bookmarkStart w:id="2" w:name="_GoBack"/>
      <w:bookmarkEnd w:id="2"/>
      <w:r w:rsidRPr="00B5385F">
        <w:rPr>
          <w:b/>
          <w:bCs/>
          <w:i w:val="0"/>
          <w:iCs w:val="0"/>
          <w:color w:val="auto"/>
          <w:sz w:val="20"/>
          <w:szCs w:val="20"/>
        </w:rPr>
        <w:t xml:space="preserve">Supplementary Table S1. </w:t>
      </w:r>
      <w:bookmarkEnd w:id="0"/>
      <w:r w:rsidR="00EE5003" w:rsidRPr="00B5385F">
        <w:rPr>
          <w:b/>
          <w:bCs/>
          <w:i w:val="0"/>
          <w:iCs w:val="0"/>
          <w:color w:val="auto"/>
          <w:sz w:val="20"/>
          <w:szCs w:val="20"/>
        </w:rPr>
        <w:t>Specific genes and primers for quantitative real-time polymerase chain reaction</w:t>
      </w:r>
    </w:p>
    <w:tbl>
      <w:tblPr>
        <w:tblStyle w:val="TableGrid"/>
        <w:tblW w:w="96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6"/>
        <w:gridCol w:w="1642"/>
        <w:gridCol w:w="3118"/>
        <w:gridCol w:w="2321"/>
        <w:gridCol w:w="238"/>
        <w:gridCol w:w="1141"/>
      </w:tblGrid>
      <w:tr w:rsidR="006A1938" w:rsidRPr="006A1938" w14:paraId="3BB9C9C3" w14:textId="77777777" w:rsidTr="006A1938">
        <w:trPr>
          <w:trHeight w:val="323"/>
          <w:jc w:val="center"/>
        </w:trPr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</w:tcPr>
          <w:p w14:paraId="4FA0E067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A193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Target Gene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</w:tcPr>
          <w:p w14:paraId="6B047AED" w14:textId="54DE6DF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A1938">
              <w:rPr>
                <w:rFonts w:eastAsia="Calibri" w:cs="Times New Roman"/>
                <w:b/>
                <w:bCs/>
                <w:sz w:val="16"/>
                <w:szCs w:val="16"/>
              </w:rPr>
              <w:t>Direction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156C91EA" w14:textId="4A4242A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A193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Sequences (5’-3’)</w:t>
            </w:r>
          </w:p>
        </w:tc>
        <w:tc>
          <w:tcPr>
            <w:tcW w:w="2321" w:type="dxa"/>
            <w:tcBorders>
              <w:top w:val="single" w:sz="4" w:space="0" w:color="auto"/>
              <w:bottom w:val="single" w:sz="4" w:space="0" w:color="auto"/>
            </w:tcBorders>
          </w:tcPr>
          <w:p w14:paraId="5C6DFA67" w14:textId="54FC121E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A193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238" w:type="dxa"/>
            <w:tcBorders>
              <w:top w:val="single" w:sz="4" w:space="0" w:color="auto"/>
              <w:bottom w:val="single" w:sz="4" w:space="0" w:color="auto"/>
            </w:tcBorders>
          </w:tcPr>
          <w:p w14:paraId="13F67051" w14:textId="72D7D0B1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01267742" w14:textId="1A3F92F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6A193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Base pairs (bp)</w:t>
            </w:r>
          </w:p>
        </w:tc>
      </w:tr>
      <w:tr w:rsidR="006A1938" w:rsidRPr="006A1938" w14:paraId="72F47B2F" w14:textId="77777777" w:rsidTr="006A1938">
        <w:trPr>
          <w:trHeight w:val="395"/>
          <w:jc w:val="center"/>
        </w:trPr>
        <w:tc>
          <w:tcPr>
            <w:tcW w:w="1196" w:type="dxa"/>
            <w:tcBorders>
              <w:top w:val="single" w:sz="4" w:space="0" w:color="auto"/>
            </w:tcBorders>
          </w:tcPr>
          <w:p w14:paraId="617E0CD0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acrB</w:t>
            </w:r>
          </w:p>
        </w:tc>
        <w:tc>
          <w:tcPr>
            <w:tcW w:w="1642" w:type="dxa"/>
            <w:tcBorders>
              <w:top w:val="single" w:sz="4" w:space="0" w:color="auto"/>
            </w:tcBorders>
          </w:tcPr>
          <w:p w14:paraId="74D0417D" w14:textId="2F53A26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2A139BBE" w14:textId="746D5BD5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15F86C90" w14:textId="3501729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TCTGACGGCTTCGCAAATCT</w:t>
            </w:r>
          </w:p>
          <w:p w14:paraId="76697DDE" w14:textId="52DE4B7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CGTCAGCATACACTTTGCCG</w:t>
            </w:r>
          </w:p>
        </w:tc>
        <w:tc>
          <w:tcPr>
            <w:tcW w:w="2321" w:type="dxa"/>
            <w:tcBorders>
              <w:top w:val="single" w:sz="4" w:space="0" w:color="auto"/>
            </w:tcBorders>
          </w:tcPr>
          <w:p w14:paraId="544730A5" w14:textId="654FE941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Multidrug efflux pump subunit </w:t>
            </w: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AcrB</w:t>
            </w:r>
          </w:p>
        </w:tc>
        <w:tc>
          <w:tcPr>
            <w:tcW w:w="238" w:type="dxa"/>
            <w:tcBorders>
              <w:top w:val="single" w:sz="4" w:space="0" w:color="auto"/>
            </w:tcBorders>
          </w:tcPr>
          <w:p w14:paraId="0827330E" w14:textId="6971F815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480E9845" w14:textId="0F4293A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260</w:t>
            </w:r>
          </w:p>
        </w:tc>
      </w:tr>
      <w:tr w:rsidR="006A1938" w:rsidRPr="006A1938" w14:paraId="150B861D" w14:textId="77777777" w:rsidTr="006A1938">
        <w:trPr>
          <w:trHeight w:val="585"/>
          <w:jc w:val="center"/>
        </w:trPr>
        <w:tc>
          <w:tcPr>
            <w:tcW w:w="1196" w:type="dxa"/>
          </w:tcPr>
          <w:p w14:paraId="2826BE66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liaH</w:t>
            </w:r>
          </w:p>
        </w:tc>
        <w:tc>
          <w:tcPr>
            <w:tcW w:w="1642" w:type="dxa"/>
          </w:tcPr>
          <w:p w14:paraId="7720A65E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6D097D7C" w14:textId="3A9B6D31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02E2B95A" w14:textId="6FDB808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TTGACGACGGCGATGATTCC</w:t>
            </w:r>
          </w:p>
          <w:p w14:paraId="4EED6612" w14:textId="7CA8B959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TCCGTATCGCCTACGACAAG</w:t>
            </w:r>
          </w:p>
        </w:tc>
        <w:tc>
          <w:tcPr>
            <w:tcW w:w="2321" w:type="dxa"/>
          </w:tcPr>
          <w:p w14:paraId="26EA6BA7" w14:textId="45B45315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lia operon protein </w:t>
            </w: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LiaH</w:t>
            </w:r>
          </w:p>
        </w:tc>
        <w:tc>
          <w:tcPr>
            <w:tcW w:w="238" w:type="dxa"/>
          </w:tcPr>
          <w:p w14:paraId="65E55218" w14:textId="51F7B513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471991C" w14:textId="3293A9C9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248</w:t>
            </w:r>
          </w:p>
        </w:tc>
      </w:tr>
      <w:tr w:rsidR="006A1938" w:rsidRPr="006A1938" w14:paraId="121CC463" w14:textId="77777777" w:rsidTr="006A1938">
        <w:trPr>
          <w:trHeight w:val="594"/>
          <w:jc w:val="center"/>
        </w:trPr>
        <w:tc>
          <w:tcPr>
            <w:tcW w:w="1196" w:type="dxa"/>
          </w:tcPr>
          <w:p w14:paraId="7624D030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srfAC</w:t>
            </w:r>
          </w:p>
        </w:tc>
        <w:tc>
          <w:tcPr>
            <w:tcW w:w="1642" w:type="dxa"/>
          </w:tcPr>
          <w:p w14:paraId="77B8D32E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0B97AE8D" w14:textId="088A7883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0EA64005" w14:textId="2D0A3BE6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TCAGCAAGGATCAAGTTCAG</w:t>
            </w:r>
          </w:p>
          <w:p w14:paraId="1AF2B17F" w14:textId="6D9FF86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ACCGGGCGCTTGACTTTTTC</w:t>
            </w:r>
          </w:p>
        </w:tc>
        <w:tc>
          <w:tcPr>
            <w:tcW w:w="2321" w:type="dxa"/>
          </w:tcPr>
          <w:p w14:paraId="153362F7" w14:textId="2F9C3CC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Surfactin</w:t>
            </w: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 family lipopeptide synthetase C</w:t>
            </w:r>
          </w:p>
        </w:tc>
        <w:tc>
          <w:tcPr>
            <w:tcW w:w="238" w:type="dxa"/>
          </w:tcPr>
          <w:p w14:paraId="52355E60" w14:textId="2C96186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6B901905" w14:textId="2B82C11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226</w:t>
            </w:r>
          </w:p>
        </w:tc>
      </w:tr>
      <w:tr w:rsidR="006A1938" w:rsidRPr="006A1938" w14:paraId="11B8865B" w14:textId="77777777" w:rsidTr="006A1938">
        <w:trPr>
          <w:trHeight w:val="603"/>
          <w:jc w:val="center"/>
        </w:trPr>
        <w:tc>
          <w:tcPr>
            <w:tcW w:w="1196" w:type="dxa"/>
          </w:tcPr>
          <w:p w14:paraId="74A6CF45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srfAA</w:t>
            </w:r>
          </w:p>
        </w:tc>
        <w:tc>
          <w:tcPr>
            <w:tcW w:w="1642" w:type="dxa"/>
          </w:tcPr>
          <w:p w14:paraId="433DE32D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341D9066" w14:textId="384107E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18612994" w14:textId="66015F1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CTTTTTATCCTTTAACAAAT</w:t>
            </w:r>
          </w:p>
          <w:p w14:paraId="6284C710" w14:textId="5DAA698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ACATATTGAACGGGCTC</w:t>
            </w:r>
          </w:p>
        </w:tc>
        <w:tc>
          <w:tcPr>
            <w:tcW w:w="2321" w:type="dxa"/>
          </w:tcPr>
          <w:p w14:paraId="3105CC9F" w14:textId="4FF720A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Surfactin</w:t>
            </w: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 family lipopeptide synthetase A</w:t>
            </w:r>
          </w:p>
        </w:tc>
        <w:tc>
          <w:tcPr>
            <w:tcW w:w="238" w:type="dxa"/>
          </w:tcPr>
          <w:p w14:paraId="5EFF7D86" w14:textId="07465A6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1AD5A8C6" w14:textId="1F1AB78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220</w:t>
            </w:r>
          </w:p>
        </w:tc>
      </w:tr>
      <w:tr w:rsidR="006A1938" w:rsidRPr="006A1938" w14:paraId="593AAB7D" w14:textId="77777777" w:rsidTr="006A1938">
        <w:trPr>
          <w:trHeight w:val="522"/>
          <w:jc w:val="center"/>
        </w:trPr>
        <w:tc>
          <w:tcPr>
            <w:tcW w:w="1196" w:type="dxa"/>
          </w:tcPr>
          <w:p w14:paraId="6F06FD0A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srfAB</w:t>
            </w:r>
          </w:p>
        </w:tc>
        <w:tc>
          <w:tcPr>
            <w:tcW w:w="1642" w:type="dxa"/>
          </w:tcPr>
          <w:p w14:paraId="31D9A2A8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5A485C10" w14:textId="0541CA2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2C65E486" w14:textId="7B7C2E19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ATGAGCAAAAAATCGATTCA</w:t>
            </w:r>
          </w:p>
          <w:p w14:paraId="5BFCC5D0" w14:textId="7E897C8D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CAATACGACTTGGCGCGGTT</w:t>
            </w:r>
          </w:p>
        </w:tc>
        <w:tc>
          <w:tcPr>
            <w:tcW w:w="2321" w:type="dxa"/>
          </w:tcPr>
          <w:p w14:paraId="1BB90A36" w14:textId="3A1CF89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Surfactin</w:t>
            </w: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 family lipopeptide synthetase B</w:t>
            </w:r>
          </w:p>
        </w:tc>
        <w:tc>
          <w:tcPr>
            <w:tcW w:w="238" w:type="dxa"/>
          </w:tcPr>
          <w:p w14:paraId="472E96CD" w14:textId="65FC50E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0B3DB44D" w14:textId="60D0D956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240</w:t>
            </w:r>
          </w:p>
        </w:tc>
      </w:tr>
      <w:tr w:rsidR="006A1938" w:rsidRPr="006A1938" w14:paraId="7755D12C" w14:textId="77777777" w:rsidTr="006A1938">
        <w:trPr>
          <w:trHeight w:val="531"/>
          <w:jc w:val="center"/>
        </w:trPr>
        <w:tc>
          <w:tcPr>
            <w:tcW w:w="1196" w:type="dxa"/>
          </w:tcPr>
          <w:p w14:paraId="3AD1B91F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srfAD</w:t>
            </w:r>
          </w:p>
        </w:tc>
        <w:tc>
          <w:tcPr>
            <w:tcW w:w="1642" w:type="dxa"/>
          </w:tcPr>
          <w:p w14:paraId="47F5A3DE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5D576D74" w14:textId="359C6A1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122F3605" w14:textId="5BEBC24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ATGGTCCAGCTCTTTAAATC</w:t>
            </w:r>
          </w:p>
          <w:p w14:paraId="38381E08" w14:textId="43EC50FD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GATTCAACTCCTGCTTGTAC</w:t>
            </w:r>
          </w:p>
        </w:tc>
        <w:tc>
          <w:tcPr>
            <w:tcW w:w="2321" w:type="dxa"/>
          </w:tcPr>
          <w:p w14:paraId="1DB2DF81" w14:textId="3573925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Surfactin</w:t>
            </w: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 family lipopeptide synthetase D</w:t>
            </w:r>
          </w:p>
        </w:tc>
        <w:tc>
          <w:tcPr>
            <w:tcW w:w="238" w:type="dxa"/>
          </w:tcPr>
          <w:p w14:paraId="60D50516" w14:textId="75BAE36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5BE4E5EE" w14:textId="4F4D3AC9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220</w:t>
            </w:r>
          </w:p>
        </w:tc>
      </w:tr>
      <w:tr w:rsidR="006A1938" w:rsidRPr="006A1938" w14:paraId="6AED14D4" w14:textId="77777777" w:rsidTr="006A1938">
        <w:trPr>
          <w:trHeight w:val="540"/>
          <w:jc w:val="center"/>
        </w:trPr>
        <w:tc>
          <w:tcPr>
            <w:tcW w:w="1196" w:type="dxa"/>
          </w:tcPr>
          <w:p w14:paraId="32466C89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ybgE</w:t>
            </w:r>
          </w:p>
        </w:tc>
        <w:tc>
          <w:tcPr>
            <w:tcW w:w="1642" w:type="dxa"/>
          </w:tcPr>
          <w:p w14:paraId="4C9EEA84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14577143" w14:textId="0797B4F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75DF3946" w14:textId="09CE219E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TGATTGAAATACGTAAGGTC</w:t>
            </w:r>
          </w:p>
          <w:p w14:paraId="0FA5169D" w14:textId="79A353AE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AACATCAATACCCGTCCGTC</w:t>
            </w:r>
          </w:p>
        </w:tc>
        <w:tc>
          <w:tcPr>
            <w:tcW w:w="2321" w:type="dxa"/>
          </w:tcPr>
          <w:p w14:paraId="6FE26344" w14:textId="35180A2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branched-chain amino acid aminotransferase</w:t>
            </w:r>
          </w:p>
        </w:tc>
        <w:tc>
          <w:tcPr>
            <w:tcW w:w="238" w:type="dxa"/>
          </w:tcPr>
          <w:p w14:paraId="50BFE8E5" w14:textId="7E93319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B6132F7" w14:textId="7032324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247</w:t>
            </w:r>
          </w:p>
        </w:tc>
      </w:tr>
      <w:tr w:rsidR="006A1938" w:rsidRPr="006A1938" w14:paraId="19F5F816" w14:textId="77777777" w:rsidTr="006A1938">
        <w:trPr>
          <w:trHeight w:val="549"/>
          <w:jc w:val="center"/>
        </w:trPr>
        <w:tc>
          <w:tcPr>
            <w:tcW w:w="1196" w:type="dxa"/>
          </w:tcPr>
          <w:p w14:paraId="244506D2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alsS</w:t>
            </w:r>
          </w:p>
        </w:tc>
        <w:tc>
          <w:tcPr>
            <w:tcW w:w="1642" w:type="dxa"/>
          </w:tcPr>
          <w:p w14:paraId="6205B6CD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04F974DB" w14:textId="1042BF3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77D4C535" w14:textId="0DAB247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TTTCATGAAGTCCTTTACCG</w:t>
            </w:r>
          </w:p>
          <w:p w14:paraId="389E8D19" w14:textId="61978A8D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AGTGGCAGGAAATCTTCTAT</w:t>
            </w:r>
          </w:p>
        </w:tc>
        <w:tc>
          <w:tcPr>
            <w:tcW w:w="2321" w:type="dxa"/>
          </w:tcPr>
          <w:p w14:paraId="7AF1C6E6" w14:textId="7649DE3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acetolactate synthase I/II/III large subunit</w:t>
            </w:r>
          </w:p>
        </w:tc>
        <w:tc>
          <w:tcPr>
            <w:tcW w:w="238" w:type="dxa"/>
          </w:tcPr>
          <w:p w14:paraId="32597A80" w14:textId="694E467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3597C1E3" w14:textId="7C99C64D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240</w:t>
            </w:r>
          </w:p>
        </w:tc>
      </w:tr>
      <w:tr w:rsidR="006A1938" w:rsidRPr="006A1938" w14:paraId="1C11AC39" w14:textId="77777777" w:rsidTr="006A1938">
        <w:trPr>
          <w:trHeight w:val="468"/>
          <w:jc w:val="center"/>
        </w:trPr>
        <w:tc>
          <w:tcPr>
            <w:tcW w:w="1196" w:type="dxa"/>
          </w:tcPr>
          <w:p w14:paraId="0C3B1693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prpC3</w:t>
            </w:r>
          </w:p>
        </w:tc>
        <w:tc>
          <w:tcPr>
            <w:tcW w:w="1642" w:type="dxa"/>
          </w:tcPr>
          <w:p w14:paraId="6BAEC4FF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1E6BD340" w14:textId="2AC85BEE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3FC89B68" w14:textId="2151FE5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TTGATTTATCGTGGATTGAA</w:t>
            </w:r>
          </w:p>
          <w:p w14:paraId="0DFEAE84" w14:textId="7C09DC36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GCGTTTCCAATAAGCCGATG</w:t>
            </w:r>
          </w:p>
        </w:tc>
        <w:tc>
          <w:tcPr>
            <w:tcW w:w="2321" w:type="dxa"/>
          </w:tcPr>
          <w:p w14:paraId="7E68CE0B" w14:textId="0ADEEDB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citrate synthase</w:t>
            </w:r>
          </w:p>
        </w:tc>
        <w:tc>
          <w:tcPr>
            <w:tcW w:w="238" w:type="dxa"/>
          </w:tcPr>
          <w:p w14:paraId="62EC3B47" w14:textId="60A393C5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7E79A73C" w14:textId="23B1468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250</w:t>
            </w:r>
          </w:p>
        </w:tc>
      </w:tr>
      <w:tr w:rsidR="006A1938" w:rsidRPr="006A1938" w14:paraId="53BDF61B" w14:textId="77777777" w:rsidTr="006A1938">
        <w:trPr>
          <w:trHeight w:val="657"/>
          <w:jc w:val="center"/>
        </w:trPr>
        <w:tc>
          <w:tcPr>
            <w:tcW w:w="1196" w:type="dxa"/>
          </w:tcPr>
          <w:p w14:paraId="6D08D142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sucC</w:t>
            </w:r>
          </w:p>
        </w:tc>
        <w:tc>
          <w:tcPr>
            <w:tcW w:w="1642" w:type="dxa"/>
          </w:tcPr>
          <w:p w14:paraId="637B8583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5D64A712" w14:textId="14BDDA7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63EBD540" w14:textId="6DBC222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TACGGGGTGTCTGTTCCTGA</w:t>
            </w:r>
          </w:p>
          <w:p w14:paraId="6960D4B6" w14:textId="6576077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ACCCGTTTGATGTGTGACGA</w:t>
            </w:r>
          </w:p>
        </w:tc>
        <w:tc>
          <w:tcPr>
            <w:tcW w:w="2321" w:type="dxa"/>
          </w:tcPr>
          <w:p w14:paraId="60C7F164" w14:textId="2551C079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succinyl-CoA synthetase beta subunit</w:t>
            </w:r>
          </w:p>
        </w:tc>
        <w:tc>
          <w:tcPr>
            <w:tcW w:w="238" w:type="dxa"/>
          </w:tcPr>
          <w:p w14:paraId="38070B36" w14:textId="615A505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2CD2980" w14:textId="78D5AAD1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219</w:t>
            </w:r>
          </w:p>
        </w:tc>
      </w:tr>
      <w:tr w:rsidR="006A1938" w:rsidRPr="006A1938" w14:paraId="7B2B21B3" w14:textId="77777777" w:rsidTr="006A1938">
        <w:trPr>
          <w:trHeight w:val="540"/>
          <w:jc w:val="center"/>
        </w:trPr>
        <w:tc>
          <w:tcPr>
            <w:tcW w:w="1196" w:type="dxa"/>
          </w:tcPr>
          <w:p w14:paraId="39974526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sacP</w:t>
            </w:r>
          </w:p>
        </w:tc>
        <w:tc>
          <w:tcPr>
            <w:tcW w:w="1642" w:type="dxa"/>
          </w:tcPr>
          <w:p w14:paraId="5271F173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2C86DCAA" w14:textId="78489ECB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0EE47E07" w14:textId="51B37C8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TACGGGGTGTCTGTTCCTGA</w:t>
            </w:r>
          </w:p>
          <w:p w14:paraId="6EC381F8" w14:textId="286F524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ACCCGTTTGATGTGTGACGA</w:t>
            </w:r>
          </w:p>
        </w:tc>
        <w:tc>
          <w:tcPr>
            <w:tcW w:w="2321" w:type="dxa"/>
          </w:tcPr>
          <w:p w14:paraId="29C769D2" w14:textId="4C51B0A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PTS sugar transporter</w:t>
            </w:r>
          </w:p>
        </w:tc>
        <w:tc>
          <w:tcPr>
            <w:tcW w:w="238" w:type="dxa"/>
          </w:tcPr>
          <w:p w14:paraId="4F10F358" w14:textId="589A1293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5D5E0678" w14:textId="10C4201F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219</w:t>
            </w:r>
          </w:p>
        </w:tc>
      </w:tr>
      <w:tr w:rsidR="006A1938" w:rsidRPr="006A1938" w14:paraId="2C7C7B3A" w14:textId="77777777" w:rsidTr="006A1938">
        <w:trPr>
          <w:trHeight w:val="639"/>
          <w:jc w:val="center"/>
        </w:trPr>
        <w:tc>
          <w:tcPr>
            <w:tcW w:w="1196" w:type="dxa"/>
          </w:tcPr>
          <w:p w14:paraId="40B8D6C0" w14:textId="77777777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fabG</w:t>
            </w:r>
          </w:p>
        </w:tc>
        <w:tc>
          <w:tcPr>
            <w:tcW w:w="1642" w:type="dxa"/>
          </w:tcPr>
          <w:p w14:paraId="1500BFAB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0B110B40" w14:textId="58C5C89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</w:tcPr>
          <w:p w14:paraId="15A4566E" w14:textId="549FD92A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ATGCTTAATGAAAAAACAGC</w:t>
            </w:r>
          </w:p>
          <w:p w14:paraId="5C947A2C" w14:textId="135B1633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ACAGCCTCTTTCATCATGTT</w:t>
            </w:r>
          </w:p>
        </w:tc>
        <w:tc>
          <w:tcPr>
            <w:tcW w:w="2321" w:type="dxa"/>
          </w:tcPr>
          <w:p w14:paraId="4A54F93C" w14:textId="74F2060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3-oxoacyl-[acyl-carrier protein] reductase</w:t>
            </w:r>
          </w:p>
        </w:tc>
        <w:tc>
          <w:tcPr>
            <w:tcW w:w="238" w:type="dxa"/>
          </w:tcPr>
          <w:p w14:paraId="5226D96E" w14:textId="351A3AF8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</w:tcPr>
          <w:p w14:paraId="471FDD60" w14:textId="162630B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230</w:t>
            </w:r>
          </w:p>
        </w:tc>
      </w:tr>
      <w:tr w:rsidR="006A1938" w:rsidRPr="006A1938" w14:paraId="2D5D915D" w14:textId="77777777" w:rsidTr="006A1938">
        <w:trPr>
          <w:trHeight w:val="744"/>
          <w:jc w:val="center"/>
        </w:trPr>
        <w:tc>
          <w:tcPr>
            <w:tcW w:w="1196" w:type="dxa"/>
            <w:tcBorders>
              <w:bottom w:val="single" w:sz="4" w:space="0" w:color="auto"/>
            </w:tcBorders>
          </w:tcPr>
          <w:p w14:paraId="3E902142" w14:textId="255D2D00" w:rsidR="006A1938" w:rsidRPr="006A1938" w:rsidRDefault="006A1938" w:rsidP="006A1938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 xml:space="preserve">recA </w:t>
            </w: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36ACBE37" w14:textId="7777777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Forward</w:t>
            </w:r>
          </w:p>
          <w:p w14:paraId="67689490" w14:textId="1C0A25C4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Reverse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92BF3C9" w14:textId="4C578540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TGTTGCGGCGCTTGTTCCAAAAG</w:t>
            </w:r>
          </w:p>
          <w:p w14:paraId="26345271" w14:textId="1A6AA172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AATAGAATTTCAGCGCGCGG</w:t>
            </w:r>
          </w:p>
        </w:tc>
        <w:tc>
          <w:tcPr>
            <w:tcW w:w="2321" w:type="dxa"/>
            <w:tcBorders>
              <w:bottom w:val="single" w:sz="4" w:space="0" w:color="auto"/>
            </w:tcBorders>
          </w:tcPr>
          <w:p w14:paraId="3E5C297E" w14:textId="03DEFA57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(Reference gene)</w:t>
            </w:r>
          </w:p>
        </w:tc>
        <w:tc>
          <w:tcPr>
            <w:tcW w:w="238" w:type="dxa"/>
            <w:tcBorders>
              <w:bottom w:val="single" w:sz="4" w:space="0" w:color="auto"/>
            </w:tcBorders>
          </w:tcPr>
          <w:p w14:paraId="7C2B09D7" w14:textId="1BCA639C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404B8C99" w14:textId="1A2E4573" w:rsidR="006A1938" w:rsidRPr="006A1938" w:rsidRDefault="006A1938" w:rsidP="006A1938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A1938">
              <w:rPr>
                <w:rFonts w:asciiTheme="majorBidi" w:hAnsiTheme="majorBidi" w:cstheme="majorBidi"/>
                <w:sz w:val="18"/>
                <w:szCs w:val="18"/>
              </w:rPr>
              <w:t>221</w:t>
            </w:r>
          </w:p>
        </w:tc>
      </w:tr>
      <w:bookmarkEnd w:id="1"/>
    </w:tbl>
    <w:p w14:paraId="799E7712" w14:textId="1BB9576D" w:rsidR="00250343" w:rsidRDefault="00250343" w:rsidP="00250343">
      <w:pPr>
        <w:spacing w:line="276" w:lineRule="auto"/>
        <w:jc w:val="both"/>
        <w:rPr>
          <w:sz w:val="24"/>
          <w:szCs w:val="24"/>
        </w:rPr>
      </w:pPr>
    </w:p>
    <w:p w14:paraId="61A89985" w14:textId="77777777" w:rsidR="00887F38" w:rsidRPr="007E76ED" w:rsidRDefault="00887F38" w:rsidP="00887F38">
      <w:pPr>
        <w:spacing w:line="240" w:lineRule="auto"/>
        <w:ind w:left="360" w:hanging="360"/>
        <w:jc w:val="both"/>
        <w:rPr>
          <w:rFonts w:cstheme="majorBidi"/>
          <w:sz w:val="20"/>
          <w:szCs w:val="20"/>
        </w:rPr>
      </w:pPr>
      <w:r w:rsidRPr="007E76ED">
        <w:rPr>
          <w:rFonts w:cstheme="majorBidi"/>
          <w:sz w:val="20"/>
          <w:szCs w:val="20"/>
        </w:rPr>
        <w:t xml:space="preserve">Xu, X., Wang, Y., Lei, T., Sohail, M.A., Wang, J. and Wang, H. (2022). Synergistic effects of </w:t>
      </w:r>
      <w:r w:rsidRPr="007E76ED">
        <w:rPr>
          <w:rFonts w:cstheme="majorBidi"/>
          <w:i/>
          <w:iCs/>
          <w:sz w:val="20"/>
          <w:szCs w:val="20"/>
        </w:rPr>
        <w:t>Bacillus amyloliquefaciens</w:t>
      </w:r>
      <w:r w:rsidRPr="007E76ED">
        <w:rPr>
          <w:rFonts w:cstheme="majorBidi"/>
          <w:sz w:val="20"/>
          <w:szCs w:val="20"/>
        </w:rPr>
        <w:t xml:space="preserve"> SDTB009 and difenoconazole on Fusarium wilt of tomato. Plant Disease 106 (8), 2165-2171. </w:t>
      </w:r>
      <w:hyperlink r:id="rId7" w:history="1">
        <w:r w:rsidRPr="007E76ED">
          <w:rPr>
            <w:rStyle w:val="Hyperlink"/>
            <w:rFonts w:cstheme="majorBidi"/>
            <w:sz w:val="20"/>
            <w:szCs w:val="20"/>
          </w:rPr>
          <w:t>https://doi.org/10.1094/PDIS-12-21-2650-RE</w:t>
        </w:r>
      </w:hyperlink>
      <w:r w:rsidRPr="007E76ED">
        <w:rPr>
          <w:rFonts w:cstheme="majorBidi"/>
          <w:sz w:val="20"/>
          <w:szCs w:val="20"/>
        </w:rPr>
        <w:t xml:space="preserve"> </w:t>
      </w:r>
    </w:p>
    <w:p w14:paraId="305BBC6D" w14:textId="4A58748B" w:rsidR="00B5385F" w:rsidRDefault="00B5385F" w:rsidP="00250343">
      <w:pPr>
        <w:spacing w:line="276" w:lineRule="auto"/>
        <w:jc w:val="both"/>
        <w:rPr>
          <w:sz w:val="24"/>
          <w:szCs w:val="24"/>
        </w:rPr>
      </w:pPr>
    </w:p>
    <w:p w14:paraId="3E7BD542" w14:textId="2FB119DF" w:rsidR="00B5385F" w:rsidRDefault="00B5385F" w:rsidP="00250343">
      <w:pPr>
        <w:spacing w:line="276" w:lineRule="auto"/>
        <w:jc w:val="both"/>
        <w:rPr>
          <w:sz w:val="24"/>
          <w:szCs w:val="24"/>
        </w:rPr>
      </w:pPr>
    </w:p>
    <w:p w14:paraId="383A5222" w14:textId="306DBF30" w:rsidR="00B5385F" w:rsidRDefault="00B5385F" w:rsidP="00250343">
      <w:pPr>
        <w:spacing w:line="276" w:lineRule="auto"/>
        <w:jc w:val="both"/>
        <w:rPr>
          <w:sz w:val="24"/>
          <w:szCs w:val="24"/>
        </w:rPr>
      </w:pPr>
    </w:p>
    <w:p w14:paraId="7D4C704C" w14:textId="787D07F8" w:rsidR="00B5385F" w:rsidRDefault="00B5385F" w:rsidP="00250343">
      <w:pPr>
        <w:spacing w:line="276" w:lineRule="auto"/>
        <w:jc w:val="both"/>
        <w:rPr>
          <w:sz w:val="24"/>
          <w:szCs w:val="24"/>
        </w:rPr>
      </w:pPr>
    </w:p>
    <w:p w14:paraId="302AED56" w14:textId="79DFC080" w:rsidR="00B5385F" w:rsidRDefault="00B5385F" w:rsidP="00250343">
      <w:pPr>
        <w:spacing w:line="276" w:lineRule="auto"/>
        <w:jc w:val="both"/>
        <w:rPr>
          <w:sz w:val="24"/>
          <w:szCs w:val="24"/>
        </w:rPr>
      </w:pPr>
    </w:p>
    <w:p w14:paraId="17E8DA8D" w14:textId="4674F5C7" w:rsidR="00B5385F" w:rsidRPr="00067668" w:rsidRDefault="00B5385F" w:rsidP="00250343">
      <w:pPr>
        <w:spacing w:line="276" w:lineRule="auto"/>
        <w:jc w:val="both"/>
        <w:rPr>
          <w:sz w:val="20"/>
          <w:szCs w:val="20"/>
        </w:rPr>
      </w:pPr>
      <w:r w:rsidRPr="00B5385F">
        <w:rPr>
          <w:b/>
          <w:bCs/>
          <w:sz w:val="20"/>
          <w:szCs w:val="20"/>
        </w:rPr>
        <w:lastRenderedPageBreak/>
        <w:t>Supplementary Table S</w:t>
      </w:r>
      <w:r>
        <w:rPr>
          <w:b/>
          <w:bCs/>
          <w:sz w:val="20"/>
          <w:szCs w:val="20"/>
        </w:rPr>
        <w:t>2</w:t>
      </w:r>
      <w:r w:rsidRPr="00B5385F">
        <w:rPr>
          <w:b/>
          <w:bCs/>
          <w:sz w:val="20"/>
          <w:szCs w:val="20"/>
        </w:rPr>
        <w:t xml:space="preserve">. </w:t>
      </w:r>
      <w:r w:rsidR="00067668" w:rsidRPr="00067668">
        <w:rPr>
          <w:rFonts w:cs="Times New Roman"/>
          <w:b/>
          <w:bCs/>
          <w:sz w:val="20"/>
          <w:szCs w:val="20"/>
        </w:rPr>
        <w:t xml:space="preserve">Primer sequences in </w:t>
      </w:r>
      <w:r w:rsidR="00067668">
        <w:rPr>
          <w:rFonts w:cs="Times New Roman"/>
          <w:b/>
          <w:bCs/>
          <w:sz w:val="20"/>
          <w:szCs w:val="20"/>
        </w:rPr>
        <w:t>q</w:t>
      </w:r>
      <w:r w:rsidR="00067668" w:rsidRPr="00067668">
        <w:rPr>
          <w:rFonts w:cs="Times New Roman"/>
          <w:b/>
          <w:bCs/>
          <w:sz w:val="20"/>
          <w:szCs w:val="20"/>
        </w:rPr>
        <w:t xml:space="preserve">RT-PCR analyses </w:t>
      </w:r>
    </w:p>
    <w:tbl>
      <w:tblPr>
        <w:tblStyle w:val="PlainTable2"/>
        <w:tblW w:w="10123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3415"/>
        <w:gridCol w:w="2147"/>
        <w:gridCol w:w="1722"/>
        <w:gridCol w:w="1399"/>
      </w:tblGrid>
      <w:tr w:rsidR="00B5385F" w:rsidRPr="00B5385F" w14:paraId="1D62CBC5" w14:textId="77777777" w:rsidTr="00B538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6B7C9A1" w14:textId="77777777" w:rsidR="00B5385F" w:rsidRPr="00B5385F" w:rsidRDefault="00B5385F" w:rsidP="006212A0">
            <w:pPr>
              <w:spacing w:line="240" w:lineRule="atLeast"/>
              <w:jc w:val="center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Code</w:t>
            </w:r>
          </w:p>
        </w:tc>
        <w:tc>
          <w:tcPr>
            <w:tcW w:w="3415" w:type="dxa"/>
          </w:tcPr>
          <w:p w14:paraId="03BF1E0D" w14:textId="77777777" w:rsidR="00B5385F" w:rsidRPr="00B5385F" w:rsidRDefault="00B5385F" w:rsidP="006212A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Sequence (5′-3′)</w:t>
            </w:r>
          </w:p>
        </w:tc>
        <w:tc>
          <w:tcPr>
            <w:tcW w:w="2147" w:type="dxa"/>
          </w:tcPr>
          <w:p w14:paraId="55F0963D" w14:textId="77777777" w:rsidR="00B5385F" w:rsidRPr="00B5385F" w:rsidRDefault="00B5385F" w:rsidP="006212A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Target organism</w:t>
            </w:r>
          </w:p>
        </w:tc>
        <w:tc>
          <w:tcPr>
            <w:tcW w:w="1722" w:type="dxa"/>
          </w:tcPr>
          <w:p w14:paraId="09C080E0" w14:textId="77777777" w:rsidR="00B5385F" w:rsidRPr="00B5385F" w:rsidRDefault="00B5385F" w:rsidP="006212A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Amplicon size (bp)</w:t>
            </w:r>
          </w:p>
        </w:tc>
        <w:tc>
          <w:tcPr>
            <w:tcW w:w="1399" w:type="dxa"/>
          </w:tcPr>
          <w:p w14:paraId="391CB544" w14:textId="77777777" w:rsidR="00B5385F" w:rsidRPr="00B5385F" w:rsidRDefault="00B5385F" w:rsidP="006212A0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</w:tr>
      <w:tr w:rsidR="00B5385F" w:rsidRPr="00B5385F" w14:paraId="2653C03D" w14:textId="77777777" w:rsidTr="00B53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23004C7" w14:textId="77777777" w:rsidR="00B5385F" w:rsidRPr="00B5385F" w:rsidRDefault="00B5385F" w:rsidP="006212A0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ForcF5 (F)</w:t>
            </w:r>
          </w:p>
          <w:p w14:paraId="373439AF" w14:textId="77777777" w:rsidR="00B5385F" w:rsidRPr="00B5385F" w:rsidRDefault="00B5385F" w:rsidP="006212A0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ForcR2 (R)</w:t>
            </w:r>
          </w:p>
        </w:tc>
        <w:tc>
          <w:tcPr>
            <w:tcW w:w="3415" w:type="dxa"/>
          </w:tcPr>
          <w:p w14:paraId="6995BDEC" w14:textId="77777777" w:rsidR="00B5385F" w:rsidRPr="00B5385F" w:rsidRDefault="00B5385F" w:rsidP="006212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TCGTCACAATGATTTCAGCAT</w:t>
            </w:r>
          </w:p>
          <w:p w14:paraId="30A3EE49" w14:textId="77777777" w:rsidR="00B5385F" w:rsidRPr="00B5385F" w:rsidRDefault="00B5385F" w:rsidP="006212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GTGACGCAGGGTAGGCAT</w:t>
            </w:r>
          </w:p>
        </w:tc>
        <w:tc>
          <w:tcPr>
            <w:tcW w:w="2147" w:type="dxa"/>
          </w:tcPr>
          <w:p w14:paraId="1BF94169" w14:textId="77777777" w:rsidR="00B5385F" w:rsidRPr="00B5385F" w:rsidRDefault="00B5385F" w:rsidP="006212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F. oxysporum</w:t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t xml:space="preserve"> f. sp. </w:t>
            </w:r>
            <w:r w:rsidRPr="00B538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radicis-cucumerinum</w:t>
            </w:r>
          </w:p>
        </w:tc>
        <w:tc>
          <w:tcPr>
            <w:tcW w:w="1722" w:type="dxa"/>
          </w:tcPr>
          <w:p w14:paraId="444F1949" w14:textId="77777777" w:rsidR="00B5385F" w:rsidRPr="00B5385F" w:rsidRDefault="00B5385F" w:rsidP="006212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198</w:t>
            </w:r>
          </w:p>
        </w:tc>
        <w:tc>
          <w:tcPr>
            <w:tcW w:w="1399" w:type="dxa"/>
          </w:tcPr>
          <w:p w14:paraId="2989CB94" w14:textId="77777777" w:rsidR="00B5385F" w:rsidRPr="00B5385F" w:rsidRDefault="00B5385F" w:rsidP="006212A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1462-2912","author":[{"dropping-particle":"","family":"Lievens","given":"Bart","non-dropping-particle":"","parse-names":false,"suffix":""},{"dropping-particle":"","family":"Claes","given":"Loes","non-dropping-particle":"","parse-names":false,"suffix":""},{"dropping-particle":"","family":"Vakalounakis","given":"Demetrios J","non-dropping-particle":"","parse-names":false,"suffix":""},{"dropping-particle":"","family":"Vanachter","given":"Alfons C R C","non-dropping-particle":"","parse-names":false,"suffix":""},{"dropping-particle":"","family":"Thomma","given":"Bart P H J","non-dropping-particle":"","parse-names":false,"suffix":""}],"container-title":"Environmental Microbiology","id":"ITEM-1","issue":"9","issued":{"date-parts":[["2007"]]},"page":"2145-2161","publisher":"Wiley Online Library","title":"A robust identification and detection assay to discriminate the cucumber pathogens Fusarium oxysporum f. sp. cucumerinum and f. sp. radicis‐cucumerinum","type":"article-journal","volume":"9"},"uris":["http://www.mendeley.com/documents/?uuid=10b2b6fe-e961-447c-8782-f5d964d711e4"]}],"mendeley":{"formattedCitation":"(Lievens et al., 2007)","plainTextFormattedCitation":"(Lievens et al., 2007)","previouslyFormattedCitation":"(Lievens et al., 2007)"},"properties":{"noteIndex":0},"schema":"https://github.com/citation-style-language/schema/raw/master/csl-citation.json"}</w:instrText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Pr="00B5385F">
              <w:rPr>
                <w:rFonts w:asciiTheme="majorBidi" w:hAnsiTheme="majorBidi" w:cstheme="majorBidi"/>
                <w:noProof/>
                <w:sz w:val="20"/>
                <w:szCs w:val="20"/>
              </w:rPr>
              <w:t>(Lievens et al., 2007)</w:t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B5385F" w:rsidRPr="00B5385F" w14:paraId="72582716" w14:textId="77777777" w:rsidTr="00B5385F">
        <w:trPr>
          <w:trHeight w:val="9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602A4F8" w14:textId="77777777" w:rsidR="00B5385F" w:rsidRPr="00B5385F" w:rsidRDefault="00B5385F" w:rsidP="006212A0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BC16SF</w:t>
            </w:r>
          </w:p>
          <w:p w14:paraId="5E7FC2DD" w14:textId="77777777" w:rsidR="00B5385F" w:rsidRPr="00B5385F" w:rsidRDefault="00B5385F" w:rsidP="006212A0">
            <w:pPr>
              <w:spacing w:line="360" w:lineRule="auto"/>
              <w:jc w:val="center"/>
              <w:rPr>
                <w:rFonts w:asciiTheme="majorBidi" w:hAnsiTheme="majorBidi" w:cstheme="majorBidi"/>
                <w:b w:val="0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BC16SR</w:t>
            </w:r>
          </w:p>
        </w:tc>
        <w:tc>
          <w:tcPr>
            <w:tcW w:w="3415" w:type="dxa"/>
          </w:tcPr>
          <w:p w14:paraId="66639364" w14:textId="77777777" w:rsidR="00B5385F" w:rsidRPr="00B5385F" w:rsidRDefault="00B5385F" w:rsidP="006212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TCGCGGTTTCGCTGCCCTTT</w:t>
            </w:r>
          </w:p>
          <w:p w14:paraId="151A4DE1" w14:textId="77777777" w:rsidR="00B5385F" w:rsidRPr="00B5385F" w:rsidRDefault="00B5385F" w:rsidP="006212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AAGTCCCGCAACGAGCGCAA</w:t>
            </w:r>
          </w:p>
        </w:tc>
        <w:tc>
          <w:tcPr>
            <w:tcW w:w="2147" w:type="dxa"/>
          </w:tcPr>
          <w:p w14:paraId="2D2A6F74" w14:textId="77777777" w:rsidR="00B5385F" w:rsidRPr="00B5385F" w:rsidRDefault="00B5385F" w:rsidP="006212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Bacillus spp.</w:t>
            </w:r>
          </w:p>
        </w:tc>
        <w:tc>
          <w:tcPr>
            <w:tcW w:w="1722" w:type="dxa"/>
          </w:tcPr>
          <w:p w14:paraId="50029041" w14:textId="77777777" w:rsidR="00B5385F" w:rsidRPr="00B5385F" w:rsidRDefault="00B5385F" w:rsidP="006212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t>177</w:t>
            </w:r>
          </w:p>
        </w:tc>
        <w:tc>
          <w:tcPr>
            <w:tcW w:w="1399" w:type="dxa"/>
          </w:tcPr>
          <w:p w14:paraId="0D64E2A9" w14:textId="4AB19AA0" w:rsidR="00B5385F" w:rsidRPr="00B5385F" w:rsidRDefault="00B5385F" w:rsidP="006212A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begin" w:fldLock="1"/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instrText>ADDIN CSL_CITATION {"citationItems":[{"id":"ITEM-1","itemData":{"ISSN":"0167-7012","author":[{"dropping-particle":"","family":"Gao","given":"Weimin","non-dropping-particle":"","parse-names":false,"suffix":""},{"dropping-particle":"","family":"Zhang","given":"Weiwen","non-dropping-particle":"","parse-names":false,"suffix":""},{"dropping-particle":"","family":"Meldrum","given":"Deirdre R","non-dropping-particle":"","parse-names":false,"suffix":""}],"container-title":"Journal of microbiological methods","id":"ITEM-1","issue":"3","issued":{"date-parts":[["2011"]]},"page":"221-227","publisher":"Elsevier","title":"RT-qPCR based quantitative analysis of gene expression in single bacterial cells","type":"article-journal","volume":"85"},"uris":["http://www.mendeley.com/documents/?uuid=e15854e5-cf6c-417b-a5ba-c9a8390dcdb6"]}],"mendeley":{"formattedCitation":"(Gao et al., 2011)","plainTextFormattedCitation":"(Gao et al., 2011)","previouslyFormattedCitation":"(Gao et al., 2011)"},"properties":{"noteIndex":0},"schema":"https://github.com/citation-style-language/schema/raw/master/csl-citation.json"}</w:instrText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Pr="00B5385F">
              <w:rPr>
                <w:rFonts w:asciiTheme="majorBidi" w:hAnsiTheme="majorBidi" w:cstheme="majorBidi"/>
                <w:noProof/>
                <w:sz w:val="20"/>
                <w:szCs w:val="20"/>
              </w:rPr>
              <w:t>(</w:t>
            </w:r>
            <w:r w:rsidR="00890A55" w:rsidRPr="00890A55">
              <w:rPr>
                <w:sz w:val="20"/>
                <w:szCs w:val="20"/>
                <w:lang w:val="en-GB"/>
              </w:rPr>
              <w:t>Mori</w:t>
            </w:r>
            <w:r w:rsidRPr="00B5385F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 et al., 20</w:t>
            </w:r>
            <w:r w:rsidR="00887F38">
              <w:rPr>
                <w:rFonts w:asciiTheme="majorBidi" w:hAnsiTheme="majorBidi" w:cstheme="majorBidi"/>
                <w:noProof/>
                <w:sz w:val="20"/>
                <w:szCs w:val="20"/>
              </w:rPr>
              <w:t>04</w:t>
            </w:r>
            <w:r w:rsidRPr="00B5385F">
              <w:rPr>
                <w:rFonts w:asciiTheme="majorBidi" w:hAnsiTheme="majorBidi" w:cstheme="majorBidi"/>
                <w:noProof/>
                <w:sz w:val="20"/>
                <w:szCs w:val="20"/>
              </w:rPr>
              <w:t>)</w:t>
            </w:r>
            <w:r w:rsidRPr="00B5385F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</w:tbl>
    <w:p w14:paraId="58B46C7B" w14:textId="77777777" w:rsidR="00887F38" w:rsidRDefault="00887F38" w:rsidP="00887F38">
      <w:pPr>
        <w:spacing w:line="360" w:lineRule="auto"/>
        <w:ind w:left="360" w:hanging="270"/>
        <w:jc w:val="both"/>
        <w:rPr>
          <w:rFonts w:cstheme="majorBidi"/>
          <w:sz w:val="20"/>
          <w:szCs w:val="20"/>
        </w:rPr>
      </w:pPr>
    </w:p>
    <w:p w14:paraId="3836AECD" w14:textId="7F11609D" w:rsidR="00887F38" w:rsidRPr="007E76ED" w:rsidRDefault="00887F38" w:rsidP="00887F38">
      <w:pPr>
        <w:spacing w:line="240" w:lineRule="auto"/>
        <w:ind w:left="360" w:hanging="270"/>
        <w:jc w:val="both"/>
        <w:rPr>
          <w:rFonts w:cstheme="majorBidi"/>
          <w:sz w:val="20"/>
          <w:szCs w:val="20"/>
        </w:rPr>
      </w:pPr>
      <w:r w:rsidRPr="007E76ED">
        <w:rPr>
          <w:rFonts w:cstheme="majorBidi"/>
          <w:sz w:val="20"/>
          <w:szCs w:val="20"/>
        </w:rPr>
        <w:t xml:space="preserve">Lievens, B., Claes, L., Vakalounakis, D. J., Vanachter, A. C., &amp; Thomma, B. P. (2007). A robust identification and detection assay to discriminate the cucumber pathogens </w:t>
      </w:r>
      <w:r w:rsidRPr="007E76ED">
        <w:rPr>
          <w:rFonts w:cstheme="majorBidi"/>
          <w:i/>
          <w:iCs/>
          <w:sz w:val="20"/>
          <w:szCs w:val="20"/>
        </w:rPr>
        <w:t>Fusarium oxysporum</w:t>
      </w:r>
      <w:r w:rsidRPr="007E76ED">
        <w:rPr>
          <w:rFonts w:cstheme="majorBidi"/>
          <w:sz w:val="20"/>
          <w:szCs w:val="20"/>
        </w:rPr>
        <w:t xml:space="preserve"> f. sp. </w:t>
      </w:r>
      <w:r w:rsidRPr="007E76ED">
        <w:rPr>
          <w:rFonts w:cstheme="majorBidi"/>
          <w:i/>
          <w:iCs/>
          <w:sz w:val="20"/>
          <w:szCs w:val="20"/>
        </w:rPr>
        <w:t>cucumerinum</w:t>
      </w:r>
      <w:r w:rsidRPr="007E76ED">
        <w:rPr>
          <w:rFonts w:cstheme="majorBidi"/>
          <w:sz w:val="20"/>
          <w:szCs w:val="20"/>
        </w:rPr>
        <w:t xml:space="preserve"> and f. sp. </w:t>
      </w:r>
      <w:r w:rsidRPr="007E76ED">
        <w:rPr>
          <w:rFonts w:cstheme="majorBidi"/>
          <w:i/>
          <w:iCs/>
          <w:sz w:val="20"/>
          <w:szCs w:val="20"/>
        </w:rPr>
        <w:t>radicis-cucumerinum</w:t>
      </w:r>
      <w:r w:rsidRPr="007E76ED">
        <w:rPr>
          <w:rFonts w:cstheme="majorBidi"/>
          <w:sz w:val="20"/>
          <w:szCs w:val="20"/>
        </w:rPr>
        <w:t xml:space="preserve">. Environmental Microbiology 9, 2145–2161. </w:t>
      </w:r>
      <w:hyperlink r:id="rId8" w:history="1">
        <w:r w:rsidRPr="007E76ED">
          <w:rPr>
            <w:rStyle w:val="Hyperlink"/>
            <w:rFonts w:cstheme="majorBidi"/>
            <w:sz w:val="20"/>
            <w:szCs w:val="20"/>
          </w:rPr>
          <w:t>https://doi.org/10.1111/j.1462-2920.2007.01329.x</w:t>
        </w:r>
      </w:hyperlink>
      <w:r w:rsidRPr="007E76ED">
        <w:rPr>
          <w:rFonts w:cstheme="majorBidi"/>
          <w:sz w:val="20"/>
          <w:szCs w:val="20"/>
        </w:rPr>
        <w:t xml:space="preserve"> </w:t>
      </w:r>
    </w:p>
    <w:p w14:paraId="26344B10" w14:textId="77777777" w:rsidR="00890A55" w:rsidRPr="00890A55" w:rsidRDefault="00890A55" w:rsidP="00887F38">
      <w:pPr>
        <w:spacing w:line="240" w:lineRule="auto"/>
        <w:ind w:left="270" w:hanging="270"/>
        <w:jc w:val="both"/>
        <w:rPr>
          <w:sz w:val="20"/>
          <w:szCs w:val="20"/>
          <w:lang w:val="en-GB"/>
        </w:rPr>
      </w:pPr>
      <w:r w:rsidRPr="00890A55">
        <w:rPr>
          <w:sz w:val="20"/>
          <w:szCs w:val="20"/>
          <w:lang w:val="en-GB"/>
        </w:rPr>
        <w:t xml:space="preserve">Mori, K., Iriye, R., Hirata, M., Takamizawa, K. (2004). Quantification of </w:t>
      </w:r>
      <w:r w:rsidRPr="00887F38">
        <w:rPr>
          <w:i/>
          <w:iCs/>
          <w:sz w:val="20"/>
          <w:szCs w:val="20"/>
          <w:lang w:val="en-GB"/>
        </w:rPr>
        <w:t>Bacillus</w:t>
      </w:r>
      <w:r w:rsidRPr="00890A55">
        <w:rPr>
          <w:sz w:val="20"/>
          <w:szCs w:val="20"/>
          <w:lang w:val="en-GB"/>
        </w:rPr>
        <w:t xml:space="preserve"> species in a wastewater treatment system by the molecular analyses. Biotechnology and Bioprocess Engineering 9, 482–489. </w:t>
      </w:r>
      <w:hyperlink r:id="rId9" w:history="1">
        <w:r w:rsidRPr="00890A55">
          <w:rPr>
            <w:rStyle w:val="Hyperlink"/>
            <w:sz w:val="20"/>
            <w:szCs w:val="20"/>
            <w:lang w:val="en-GB"/>
          </w:rPr>
          <w:t>https://doi.org/10.1007/BF02933490</w:t>
        </w:r>
      </w:hyperlink>
      <w:r w:rsidRPr="00890A55">
        <w:rPr>
          <w:sz w:val="20"/>
          <w:szCs w:val="20"/>
          <w:lang w:val="en-GB"/>
        </w:rPr>
        <w:t xml:space="preserve"> </w:t>
      </w:r>
    </w:p>
    <w:p w14:paraId="38F19029" w14:textId="77777777" w:rsidR="00890A55" w:rsidRPr="00890A55" w:rsidRDefault="00890A55" w:rsidP="00890A55">
      <w:pPr>
        <w:spacing w:line="276" w:lineRule="auto"/>
        <w:ind w:hanging="270"/>
        <w:jc w:val="both"/>
        <w:rPr>
          <w:sz w:val="20"/>
          <w:szCs w:val="20"/>
        </w:rPr>
      </w:pPr>
    </w:p>
    <w:p w14:paraId="1D9A9A92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60A088EB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78DFDA26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0662D039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3F6F9AE5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137D3DBF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641EE369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7A280A1A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618E97AC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3EAF4A07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5530790D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15B87CC8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13888D26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066172D5" w14:textId="77777777" w:rsidR="00D06DBD" w:rsidRDefault="00D06DBD" w:rsidP="00D06DBD">
      <w:pPr>
        <w:spacing w:line="276" w:lineRule="auto"/>
        <w:jc w:val="both"/>
        <w:rPr>
          <w:sz w:val="24"/>
          <w:szCs w:val="24"/>
        </w:rPr>
      </w:pPr>
    </w:p>
    <w:p w14:paraId="591D81A6" w14:textId="01D812A2" w:rsidR="004E72BD" w:rsidRDefault="00D06DBD" w:rsidP="00B03369">
      <w:pPr>
        <w:spacing w:line="360" w:lineRule="auto"/>
        <w:jc w:val="both"/>
        <w:rPr>
          <w:b/>
          <w:bCs/>
          <w:sz w:val="20"/>
          <w:szCs w:val="20"/>
        </w:rPr>
      </w:pPr>
      <w:r w:rsidRPr="00D06DBD">
        <w:rPr>
          <w:b/>
          <w:bCs/>
          <w:sz w:val="20"/>
          <w:szCs w:val="20"/>
        </w:rPr>
        <w:t xml:space="preserve">Supplementary Table S3. </w:t>
      </w:r>
      <w:r w:rsidR="00CE19E8" w:rsidRPr="00D06DBD">
        <w:rPr>
          <w:b/>
          <w:bCs/>
          <w:sz w:val="20"/>
          <w:szCs w:val="20"/>
        </w:rPr>
        <w:t xml:space="preserve">Relative gene transcript levels </w:t>
      </w:r>
      <w:r w:rsidR="00D17B2A" w:rsidRPr="00D06DBD">
        <w:rPr>
          <w:b/>
          <w:bCs/>
          <w:sz w:val="20"/>
          <w:szCs w:val="20"/>
        </w:rPr>
        <w:t>in the six modules of surfactin synthesis in</w:t>
      </w:r>
      <w:r w:rsidRPr="00D06DBD">
        <w:rPr>
          <w:b/>
          <w:bCs/>
          <w:i/>
          <w:iCs/>
          <w:sz w:val="20"/>
          <w:szCs w:val="20"/>
          <w:lang w:val="en-GB"/>
        </w:rPr>
        <w:t xml:space="preserve"> B. velezensis </w:t>
      </w:r>
      <w:r w:rsidRPr="00D06DBD">
        <w:rPr>
          <w:b/>
          <w:bCs/>
          <w:sz w:val="20"/>
          <w:szCs w:val="20"/>
          <w:lang w:val="en-GB"/>
        </w:rPr>
        <w:t>Bv-22</w:t>
      </w:r>
      <w:r w:rsidRPr="00D06DBD">
        <w:rPr>
          <w:b/>
          <w:bCs/>
          <w:i/>
          <w:iCs/>
          <w:sz w:val="20"/>
          <w:szCs w:val="20"/>
          <w:lang w:val="en-GB"/>
        </w:rPr>
        <w:t xml:space="preserve"> </w:t>
      </w:r>
      <w:r w:rsidRPr="00D06DBD">
        <w:rPr>
          <w:b/>
          <w:bCs/>
          <w:sz w:val="20"/>
          <w:szCs w:val="20"/>
          <w:lang w:val="en-GB"/>
        </w:rPr>
        <w:t>exposed to Si</w:t>
      </w:r>
      <w:r w:rsidR="00D17B2A" w:rsidRPr="00D06DBD">
        <w:rPr>
          <w:b/>
          <w:bCs/>
          <w:sz w:val="20"/>
          <w:szCs w:val="20"/>
        </w:rPr>
        <w:t>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435"/>
        <w:gridCol w:w="3239"/>
        <w:gridCol w:w="2338"/>
      </w:tblGrid>
      <w:tr w:rsidR="009C51A6" w:rsidRPr="009C51A6" w14:paraId="2232D8FD" w14:textId="77777777" w:rsidTr="009C51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77C1F871" w14:textId="31E52F9F" w:rsidR="009C51A6" w:rsidRPr="009C51A6" w:rsidRDefault="009C51A6" w:rsidP="00D06DBD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9C51A6">
              <w:rPr>
                <w:color w:val="000000"/>
                <w:sz w:val="20"/>
                <w:szCs w:val="20"/>
              </w:rPr>
              <w:t>Gene code</w:t>
            </w:r>
          </w:p>
        </w:tc>
        <w:tc>
          <w:tcPr>
            <w:tcW w:w="3239" w:type="dxa"/>
          </w:tcPr>
          <w:p w14:paraId="6764F245" w14:textId="3CC081D6" w:rsidR="009C51A6" w:rsidRPr="009C51A6" w:rsidRDefault="009C51A6" w:rsidP="0014731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-Si</w:t>
            </w:r>
          </w:p>
        </w:tc>
        <w:tc>
          <w:tcPr>
            <w:tcW w:w="2338" w:type="dxa"/>
          </w:tcPr>
          <w:p w14:paraId="26AF3E93" w14:textId="7564A1E6" w:rsidR="009C51A6" w:rsidRPr="009C51A6" w:rsidRDefault="009C51A6" w:rsidP="0014731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+ Si</w:t>
            </w:r>
          </w:p>
        </w:tc>
      </w:tr>
      <w:tr w:rsidR="009C51A6" w:rsidRPr="009C51A6" w14:paraId="6C945C3B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4E66C485" w14:textId="47C51BBC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AcrB</w:t>
            </w:r>
          </w:p>
        </w:tc>
        <w:tc>
          <w:tcPr>
            <w:tcW w:w="3239" w:type="dxa"/>
          </w:tcPr>
          <w:p w14:paraId="578DFD94" w14:textId="7C6D8CE5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1.2</w:t>
            </w:r>
            <w:r w:rsidR="00B03369" w:rsidRPr="00B03369">
              <w:rPr>
                <w:sz w:val="20"/>
                <w:szCs w:val="20"/>
                <w:vertAlign w:val="superscript"/>
              </w:rPr>
              <w:t>*</w:t>
            </w:r>
            <w:r w:rsidRPr="009C51A6">
              <w:rPr>
                <w:sz w:val="20"/>
                <w:szCs w:val="20"/>
              </w:rPr>
              <w:t xml:space="preserve"> b</w:t>
            </w:r>
          </w:p>
        </w:tc>
        <w:tc>
          <w:tcPr>
            <w:tcW w:w="2338" w:type="dxa"/>
          </w:tcPr>
          <w:p w14:paraId="7D45F9BE" w14:textId="741D899E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6.6 a</w:t>
            </w:r>
          </w:p>
        </w:tc>
      </w:tr>
      <w:tr w:rsidR="009C51A6" w:rsidRPr="009C51A6" w14:paraId="17CD66F8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12A33F5F" w14:textId="6FC5E95D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liaH</w:t>
            </w:r>
          </w:p>
        </w:tc>
        <w:tc>
          <w:tcPr>
            <w:tcW w:w="3239" w:type="dxa"/>
          </w:tcPr>
          <w:p w14:paraId="1BC2C8CD" w14:textId="40E138C8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4.3 a</w:t>
            </w:r>
          </w:p>
        </w:tc>
        <w:tc>
          <w:tcPr>
            <w:tcW w:w="2338" w:type="dxa"/>
          </w:tcPr>
          <w:p w14:paraId="1A9E172C" w14:textId="51C835AC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5.3 a</w:t>
            </w:r>
          </w:p>
        </w:tc>
      </w:tr>
      <w:tr w:rsidR="009C51A6" w:rsidRPr="009C51A6" w14:paraId="5131D908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3DF3F011" w14:textId="16968E79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SrfAC</w:t>
            </w:r>
          </w:p>
        </w:tc>
        <w:tc>
          <w:tcPr>
            <w:tcW w:w="3239" w:type="dxa"/>
          </w:tcPr>
          <w:p w14:paraId="524D89F3" w14:textId="3C7EE53D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1.2 b</w:t>
            </w:r>
          </w:p>
        </w:tc>
        <w:tc>
          <w:tcPr>
            <w:tcW w:w="2338" w:type="dxa"/>
          </w:tcPr>
          <w:p w14:paraId="03B21DF3" w14:textId="59F9EC8C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5.3 a</w:t>
            </w:r>
          </w:p>
        </w:tc>
      </w:tr>
      <w:tr w:rsidR="009C51A6" w:rsidRPr="009C51A6" w14:paraId="7A88DEBB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005FF18F" w14:textId="28E46AD6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SrfAA</w:t>
            </w:r>
          </w:p>
        </w:tc>
        <w:tc>
          <w:tcPr>
            <w:tcW w:w="3239" w:type="dxa"/>
          </w:tcPr>
          <w:p w14:paraId="7BC2B2C4" w14:textId="1847A90D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0.45 b</w:t>
            </w:r>
          </w:p>
        </w:tc>
        <w:tc>
          <w:tcPr>
            <w:tcW w:w="2338" w:type="dxa"/>
          </w:tcPr>
          <w:p w14:paraId="775115C4" w14:textId="5DA02D2E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5.7 a</w:t>
            </w:r>
          </w:p>
        </w:tc>
      </w:tr>
      <w:tr w:rsidR="009C51A6" w:rsidRPr="009C51A6" w14:paraId="72C45124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6FD5A70A" w14:textId="5DE35407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SrfAB</w:t>
            </w:r>
          </w:p>
        </w:tc>
        <w:tc>
          <w:tcPr>
            <w:tcW w:w="3239" w:type="dxa"/>
          </w:tcPr>
          <w:p w14:paraId="72761541" w14:textId="1F27A583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0.76 b</w:t>
            </w:r>
          </w:p>
        </w:tc>
        <w:tc>
          <w:tcPr>
            <w:tcW w:w="2338" w:type="dxa"/>
          </w:tcPr>
          <w:p w14:paraId="371A4ABC" w14:textId="6AF03FAF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5.9 a</w:t>
            </w:r>
          </w:p>
        </w:tc>
      </w:tr>
      <w:tr w:rsidR="009C51A6" w:rsidRPr="009C51A6" w14:paraId="3C1AE668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7069D13B" w14:textId="751B8AE6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SrfAD</w:t>
            </w:r>
          </w:p>
        </w:tc>
        <w:tc>
          <w:tcPr>
            <w:tcW w:w="3239" w:type="dxa"/>
          </w:tcPr>
          <w:p w14:paraId="268CA7B7" w14:textId="05D95AF2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3.7 b</w:t>
            </w:r>
          </w:p>
        </w:tc>
        <w:tc>
          <w:tcPr>
            <w:tcW w:w="2338" w:type="dxa"/>
          </w:tcPr>
          <w:p w14:paraId="7D0AE4E1" w14:textId="722CC25C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5.2 a</w:t>
            </w:r>
          </w:p>
        </w:tc>
      </w:tr>
      <w:tr w:rsidR="009C51A6" w:rsidRPr="009C51A6" w14:paraId="096A8FCB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6F06008A" w14:textId="3CAC8B26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ybge</w:t>
            </w:r>
          </w:p>
        </w:tc>
        <w:tc>
          <w:tcPr>
            <w:tcW w:w="3239" w:type="dxa"/>
          </w:tcPr>
          <w:p w14:paraId="544FA964" w14:textId="4D0D1056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2.3 b</w:t>
            </w:r>
          </w:p>
        </w:tc>
        <w:tc>
          <w:tcPr>
            <w:tcW w:w="2338" w:type="dxa"/>
          </w:tcPr>
          <w:p w14:paraId="0F223387" w14:textId="6C62B004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6.4 a</w:t>
            </w:r>
          </w:p>
        </w:tc>
      </w:tr>
      <w:tr w:rsidR="009C51A6" w:rsidRPr="009C51A6" w14:paraId="384266C7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81B06C2" w14:textId="4262F25E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alsS</w:t>
            </w:r>
          </w:p>
        </w:tc>
        <w:tc>
          <w:tcPr>
            <w:tcW w:w="3239" w:type="dxa"/>
          </w:tcPr>
          <w:p w14:paraId="1FDF1A2B" w14:textId="68425326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2.7 b</w:t>
            </w:r>
          </w:p>
        </w:tc>
        <w:tc>
          <w:tcPr>
            <w:tcW w:w="2338" w:type="dxa"/>
          </w:tcPr>
          <w:p w14:paraId="4CFBA75B" w14:textId="47B0E1A9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5.9 a</w:t>
            </w:r>
          </w:p>
        </w:tc>
      </w:tr>
      <w:tr w:rsidR="009C51A6" w:rsidRPr="009C51A6" w14:paraId="0088EE69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093F8C83" w14:textId="68F8D783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prpC3</w:t>
            </w:r>
          </w:p>
        </w:tc>
        <w:tc>
          <w:tcPr>
            <w:tcW w:w="3239" w:type="dxa"/>
          </w:tcPr>
          <w:p w14:paraId="65FE3316" w14:textId="0216EB12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1.9 b</w:t>
            </w:r>
          </w:p>
        </w:tc>
        <w:tc>
          <w:tcPr>
            <w:tcW w:w="2338" w:type="dxa"/>
          </w:tcPr>
          <w:p w14:paraId="63FAC75B" w14:textId="68028D98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5.8 a</w:t>
            </w:r>
          </w:p>
        </w:tc>
      </w:tr>
      <w:tr w:rsidR="009C51A6" w:rsidRPr="009C51A6" w14:paraId="5B3A42F0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02EEB8B" w14:textId="2D70B4DA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SucC</w:t>
            </w:r>
          </w:p>
        </w:tc>
        <w:tc>
          <w:tcPr>
            <w:tcW w:w="3239" w:type="dxa"/>
          </w:tcPr>
          <w:p w14:paraId="430EEC38" w14:textId="4CC0FD65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1.5 b</w:t>
            </w:r>
          </w:p>
        </w:tc>
        <w:tc>
          <w:tcPr>
            <w:tcW w:w="2338" w:type="dxa"/>
          </w:tcPr>
          <w:p w14:paraId="2E88F294" w14:textId="24194695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7.4 a</w:t>
            </w:r>
          </w:p>
        </w:tc>
      </w:tr>
      <w:tr w:rsidR="009C51A6" w:rsidRPr="009C51A6" w14:paraId="4E9FC47D" w14:textId="77777777" w:rsidTr="009C51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6526D4FD" w14:textId="57D6D720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SacP</w:t>
            </w:r>
          </w:p>
        </w:tc>
        <w:tc>
          <w:tcPr>
            <w:tcW w:w="3239" w:type="dxa"/>
          </w:tcPr>
          <w:p w14:paraId="1DC5EC04" w14:textId="79D72F0A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1.4 b</w:t>
            </w:r>
          </w:p>
        </w:tc>
        <w:tc>
          <w:tcPr>
            <w:tcW w:w="2338" w:type="dxa"/>
          </w:tcPr>
          <w:p w14:paraId="4CFC23D4" w14:textId="4C04DBFF" w:rsidR="009C51A6" w:rsidRPr="009C51A6" w:rsidRDefault="009C51A6" w:rsidP="0014731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6.3 a</w:t>
            </w:r>
          </w:p>
        </w:tc>
      </w:tr>
      <w:tr w:rsidR="009C51A6" w:rsidRPr="009C51A6" w14:paraId="4959DA53" w14:textId="77777777" w:rsidTr="009C51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6241D10A" w14:textId="6807CED9" w:rsidR="009C51A6" w:rsidRPr="009C51A6" w:rsidRDefault="009C51A6" w:rsidP="00D06DB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51A6">
              <w:rPr>
                <w:i/>
                <w:iCs/>
                <w:color w:val="000000"/>
                <w:sz w:val="20"/>
                <w:szCs w:val="20"/>
              </w:rPr>
              <w:t>fabG</w:t>
            </w:r>
          </w:p>
        </w:tc>
        <w:tc>
          <w:tcPr>
            <w:tcW w:w="3239" w:type="dxa"/>
          </w:tcPr>
          <w:p w14:paraId="11FD607A" w14:textId="39A65043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1.9 b</w:t>
            </w:r>
          </w:p>
        </w:tc>
        <w:tc>
          <w:tcPr>
            <w:tcW w:w="2338" w:type="dxa"/>
          </w:tcPr>
          <w:p w14:paraId="406AD4C1" w14:textId="1C2CE518" w:rsidR="009C51A6" w:rsidRPr="009C51A6" w:rsidRDefault="009C51A6" w:rsidP="001473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C51A6">
              <w:rPr>
                <w:sz w:val="20"/>
                <w:szCs w:val="20"/>
              </w:rPr>
              <w:t>6.7 a</w:t>
            </w:r>
          </w:p>
        </w:tc>
      </w:tr>
    </w:tbl>
    <w:p w14:paraId="7747541B" w14:textId="77730ED6" w:rsidR="00B03369" w:rsidRPr="00BD11B0" w:rsidRDefault="00B03369" w:rsidP="009105F5">
      <w:pPr>
        <w:spacing w:line="240" w:lineRule="auto"/>
        <w:jc w:val="both"/>
        <w:rPr>
          <w:sz w:val="20"/>
          <w:szCs w:val="20"/>
        </w:rPr>
      </w:pPr>
      <w:r w:rsidRPr="00BD11B0">
        <w:rPr>
          <w:sz w:val="20"/>
          <w:szCs w:val="20"/>
          <w:vertAlign w:val="superscript"/>
        </w:rPr>
        <w:t>*</w:t>
      </w:r>
      <w:r w:rsidRPr="00BD11B0">
        <w:rPr>
          <w:sz w:val="20"/>
          <w:szCs w:val="20"/>
        </w:rPr>
        <w:t>The 2</w:t>
      </w:r>
      <w:r w:rsidRPr="00BD11B0">
        <w:rPr>
          <w:sz w:val="20"/>
          <w:szCs w:val="20"/>
          <w:vertAlign w:val="superscript"/>
        </w:rPr>
        <w:t>−ΔΔct</w:t>
      </w:r>
      <w:r w:rsidRPr="00BD11B0">
        <w:rPr>
          <w:sz w:val="20"/>
          <w:szCs w:val="20"/>
        </w:rPr>
        <w:t xml:space="preserve"> method was used to normalize each target gene using </w:t>
      </w:r>
      <w:r w:rsidRPr="00BD11B0">
        <w:rPr>
          <w:i/>
          <w:iCs/>
          <w:sz w:val="20"/>
          <w:szCs w:val="20"/>
          <w:lang w:val="en-GB"/>
        </w:rPr>
        <w:t>recA </w:t>
      </w:r>
      <w:r w:rsidR="00CB76A5" w:rsidRPr="00BD11B0">
        <w:rPr>
          <w:sz w:val="20"/>
          <w:szCs w:val="20"/>
          <w:lang w:val="en-GB"/>
        </w:rPr>
        <w:t>gene</w:t>
      </w:r>
      <w:r w:rsidRPr="00BD11B0">
        <w:rPr>
          <w:i/>
          <w:iCs/>
          <w:sz w:val="20"/>
          <w:szCs w:val="20"/>
          <w:lang w:val="en-GB"/>
        </w:rPr>
        <w:t xml:space="preserve"> </w:t>
      </w:r>
      <w:r w:rsidRPr="00BD11B0">
        <w:rPr>
          <w:sz w:val="20"/>
          <w:szCs w:val="20"/>
          <w:lang w:val="en-GB"/>
        </w:rPr>
        <w:t xml:space="preserve">as </w:t>
      </w:r>
      <w:r w:rsidRPr="00BD11B0">
        <w:rPr>
          <w:sz w:val="20"/>
          <w:szCs w:val="20"/>
        </w:rPr>
        <w:t>the reference gene</w:t>
      </w:r>
      <w:r w:rsidR="00BD11B0" w:rsidRPr="00BD11B0">
        <w:rPr>
          <w:sz w:val="20"/>
          <w:szCs w:val="20"/>
        </w:rPr>
        <w:t xml:space="preserve">. </w:t>
      </w:r>
      <w:bookmarkStart w:id="3" w:name="_Hlk198913871"/>
      <w:r w:rsidR="00BD11B0" w:rsidRPr="00BD11B0">
        <w:rPr>
          <w:sz w:val="20"/>
          <w:szCs w:val="20"/>
        </w:rPr>
        <w:t xml:space="preserve">Three biological replicates were used for each treatment, and two technical replicates were used for each. </w:t>
      </w:r>
    </w:p>
    <w:bookmarkEnd w:id="3"/>
    <w:p w14:paraId="71DC761E" w14:textId="0361F05E" w:rsidR="00BD11B0" w:rsidRDefault="00BD11B0" w:rsidP="009105F5">
      <w:pPr>
        <w:spacing w:line="240" w:lineRule="auto"/>
        <w:rPr>
          <w:rFonts w:cs="Times New Roman"/>
          <w:sz w:val="20"/>
          <w:szCs w:val="20"/>
        </w:rPr>
      </w:pPr>
      <w:r w:rsidRPr="00BD11B0">
        <w:rPr>
          <w:rFonts w:cs="Times New Roman"/>
          <w:sz w:val="20"/>
          <w:szCs w:val="20"/>
        </w:rPr>
        <w:t>-</w:t>
      </w:r>
      <w:r w:rsidR="009105F5">
        <w:rPr>
          <w:rFonts w:cs="Times New Roman"/>
          <w:sz w:val="20"/>
          <w:szCs w:val="20"/>
        </w:rPr>
        <w:t xml:space="preserve"> </w:t>
      </w:r>
      <w:r w:rsidRPr="00BD11B0">
        <w:rPr>
          <w:rFonts w:cs="Times New Roman"/>
          <w:sz w:val="20"/>
          <w:szCs w:val="20"/>
        </w:rPr>
        <w:t xml:space="preserve">Different letters </w:t>
      </w:r>
      <w:r w:rsidR="009105F5">
        <w:rPr>
          <w:rFonts w:cs="Times New Roman"/>
          <w:sz w:val="20"/>
          <w:szCs w:val="20"/>
        </w:rPr>
        <w:t>in the</w:t>
      </w:r>
      <w:r>
        <w:rPr>
          <w:rFonts w:cs="Times New Roman"/>
          <w:sz w:val="20"/>
          <w:szCs w:val="20"/>
        </w:rPr>
        <w:t xml:space="preserve"> row</w:t>
      </w:r>
      <w:r w:rsidRPr="00BD11B0">
        <w:rPr>
          <w:rFonts w:cs="Times New Roman"/>
          <w:sz w:val="20"/>
          <w:szCs w:val="20"/>
        </w:rPr>
        <w:t xml:space="preserve"> indicate significant differences at (</w:t>
      </w:r>
      <w:r w:rsidRPr="00C66B48">
        <w:rPr>
          <w:rFonts w:cs="Times New Roman"/>
          <w:i/>
          <w:iCs/>
          <w:sz w:val="20"/>
          <w:szCs w:val="20"/>
        </w:rPr>
        <w:t>P</w:t>
      </w:r>
      <w:r w:rsidRPr="00BD11B0">
        <w:rPr>
          <w:rFonts w:cs="Times New Roman"/>
          <w:sz w:val="20"/>
          <w:szCs w:val="20"/>
        </w:rPr>
        <w:t xml:space="preserve"> &lt; 0.05).</w:t>
      </w:r>
    </w:p>
    <w:p w14:paraId="5F4F0610" w14:textId="75A86B53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592A5559" w14:textId="48191D76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068C0173" w14:textId="44205A7D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283C52B7" w14:textId="2D3E0023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3E980765" w14:textId="69608EDF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3855F168" w14:textId="541AE7F0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2740D521" w14:textId="7D3D1EE3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2CD6EABE" w14:textId="4BF853AA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10AE7608" w14:textId="0FF2B925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6DB588AB" w14:textId="68490C38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5566A32C" w14:textId="5D8EBF3A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484AF1A8" w14:textId="7E258ED9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01E60C5A" w14:textId="7174935D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2046393F" w14:textId="410EE401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734DC417" w14:textId="09689C5F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0D439F4A" w14:textId="764284E3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70F102B4" w14:textId="6901B889" w:rsidR="00C66B48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6E53F3DF" w14:textId="77777777" w:rsidR="00C66B48" w:rsidRDefault="00C66B48" w:rsidP="00C66B48">
      <w:pPr>
        <w:spacing w:line="360" w:lineRule="auto"/>
        <w:jc w:val="both"/>
        <w:rPr>
          <w:rFonts w:cs="Times New Roman"/>
          <w:sz w:val="24"/>
          <w:szCs w:val="24"/>
        </w:rPr>
      </w:pPr>
      <w:r w:rsidRPr="00552B5F">
        <w:rPr>
          <w:noProof/>
        </w:rPr>
        <w:drawing>
          <wp:inline distT="0" distB="0" distL="0" distR="0" wp14:anchorId="41BE035A" wp14:editId="31936837">
            <wp:extent cx="5943600" cy="44585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F94D9" w14:textId="45622908" w:rsidR="00C66B48" w:rsidRPr="00E310B4" w:rsidRDefault="00C66B48" w:rsidP="00C66B4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66B48">
        <w:rPr>
          <w:rFonts w:cs="Times New Roman"/>
          <w:b/>
          <w:bCs/>
          <w:lang w:val="en-GB"/>
        </w:rPr>
        <w:t xml:space="preserve">Supplementary </w:t>
      </w:r>
      <w:r w:rsidRPr="00C66B48">
        <w:rPr>
          <w:rFonts w:cs="Times New Roman"/>
          <w:b/>
          <w:bCs/>
        </w:rPr>
        <w:t>Figure S1</w:t>
      </w:r>
      <w:r w:rsidRPr="00E310B4">
        <w:rPr>
          <w:rFonts w:cs="Times New Roman"/>
          <w:b/>
          <w:bCs/>
        </w:rPr>
        <w:t>.</w:t>
      </w:r>
      <w:r w:rsidRPr="00E310B4">
        <w:rPr>
          <w:rFonts w:cs="Times New Roman"/>
        </w:rPr>
        <w:t xml:space="preserve"> Standard curves of fungal DNA concentrations plotted against threshold cycles (C</w:t>
      </w:r>
      <w:r w:rsidRPr="00E310B4">
        <w:rPr>
          <w:rFonts w:cs="Times New Roman"/>
          <w:vertAlign w:val="subscript"/>
        </w:rPr>
        <w:t>t</w:t>
      </w:r>
      <w:r w:rsidRPr="00E310B4">
        <w:rPr>
          <w:rFonts w:cs="Times New Roman"/>
        </w:rPr>
        <w:t>). C</w:t>
      </w:r>
      <w:r w:rsidRPr="00E310B4">
        <w:rPr>
          <w:rFonts w:cs="Times New Roman"/>
          <w:vertAlign w:val="subscript"/>
        </w:rPr>
        <w:t>t</w:t>
      </w:r>
      <w:r w:rsidRPr="00E310B4">
        <w:rPr>
          <w:rFonts w:cs="Times New Roman"/>
        </w:rPr>
        <w:t xml:space="preserve"> values were plotted against log-transformed DNA abundances, and the linear regression equation was calculated. To measure the absolute abundances of Forc (A) and Bv-22 DNA (B), concentration standards ranging from 100 ng µL</w:t>
      </w:r>
      <w:r w:rsidRPr="00E310B4">
        <w:rPr>
          <w:rFonts w:cs="Times New Roman"/>
          <w:vertAlign w:val="superscript"/>
        </w:rPr>
        <w:t>-1</w:t>
      </w:r>
      <w:r w:rsidRPr="00E310B4">
        <w:rPr>
          <w:rFonts w:cs="Times New Roman"/>
        </w:rPr>
        <w:t xml:space="preserve"> to 10</w:t>
      </w:r>
      <w:r w:rsidRPr="00E310B4">
        <w:rPr>
          <w:rFonts w:cs="Times New Roman"/>
          <w:vertAlign w:val="superscript"/>
        </w:rPr>
        <w:t>-5</w:t>
      </w:r>
      <w:r w:rsidRPr="00E310B4">
        <w:rPr>
          <w:rFonts w:cs="Times New Roman"/>
        </w:rPr>
        <w:t xml:space="preserve"> ng µL</w:t>
      </w:r>
      <w:r w:rsidRPr="00E310B4">
        <w:rPr>
          <w:rFonts w:cs="Times New Roman"/>
          <w:vertAlign w:val="superscript"/>
        </w:rPr>
        <w:t>-1</w:t>
      </w:r>
      <w:r w:rsidRPr="00E310B4">
        <w:rPr>
          <w:rFonts w:cs="Times New Roman"/>
        </w:rPr>
        <w:t xml:space="preserve"> were prepared. </w:t>
      </w:r>
      <w:r w:rsidRPr="008E4B5D">
        <w:rPr>
          <w:rFonts w:cs="Times New Roman"/>
          <w:i/>
          <w:iCs/>
        </w:rPr>
        <w:t>R</w:t>
      </w:r>
      <w:r w:rsidRPr="008E4B5D">
        <w:rPr>
          <w:rFonts w:cs="Times New Roman"/>
          <w:i/>
          <w:iCs/>
          <w:vertAlign w:val="superscript"/>
        </w:rPr>
        <w:t>2</w:t>
      </w:r>
      <w:r w:rsidRPr="008E4B5D">
        <w:rPr>
          <w:rFonts w:cs="Times New Roman"/>
          <w:i/>
          <w:iCs/>
        </w:rPr>
        <w:t xml:space="preserve"> </w:t>
      </w:r>
      <w:r w:rsidRPr="00E310B4">
        <w:rPr>
          <w:rFonts w:cs="Times New Roman"/>
        </w:rPr>
        <w:t>= correlation coefficient. SYBR green melting curve profile for real-time polymerase chain reaction amplification of Forc (C) and Bv-22 (D)</w:t>
      </w:r>
      <w:r w:rsidRPr="00E310B4">
        <w:rPr>
          <w:rFonts w:cs="Times New Roman"/>
          <w:i/>
          <w:iCs/>
        </w:rPr>
        <w:t xml:space="preserve"> </w:t>
      </w:r>
      <w:r w:rsidRPr="00E310B4">
        <w:rPr>
          <w:rFonts w:cs="Times New Roman"/>
        </w:rPr>
        <w:t xml:space="preserve">pure genomic DNAs. The single peak with </w:t>
      </w:r>
      <w:r>
        <w:rPr>
          <w:rFonts w:cs="Times New Roman"/>
        </w:rPr>
        <w:t>Forc</w:t>
      </w:r>
      <w:r w:rsidRPr="00E310B4">
        <w:rPr>
          <w:rFonts w:cs="Times New Roman"/>
        </w:rPr>
        <w:t xml:space="preserve"> and </w:t>
      </w:r>
      <w:r w:rsidRPr="00E442AF">
        <w:rPr>
          <w:rFonts w:cs="Times New Roman"/>
        </w:rPr>
        <w:t>Bv-22</w:t>
      </w:r>
      <w:r w:rsidRPr="00E310B4">
        <w:rPr>
          <w:rFonts w:cs="Times New Roman"/>
          <w:i/>
          <w:iCs/>
        </w:rPr>
        <w:t xml:space="preserve"> </w:t>
      </w:r>
      <w:r w:rsidRPr="00E310B4">
        <w:rPr>
          <w:rFonts w:cs="Times New Roman"/>
        </w:rPr>
        <w:t xml:space="preserve">DNA as templates indicates the specificity of the ForcF1/ForcF2 </w:t>
      </w:r>
      <w:r w:rsidRPr="00E310B4">
        <w:rPr>
          <w:rFonts w:asciiTheme="majorBidi" w:hAnsiTheme="majorBidi" w:cstheme="majorBidi"/>
        </w:rPr>
        <w:t xml:space="preserve">and </w:t>
      </w:r>
      <w:r w:rsidRPr="00E310B4">
        <w:rPr>
          <w:rFonts w:asciiTheme="majorBidi" w:eastAsia="Calibri" w:hAnsiTheme="majorBidi" w:cstheme="majorBidi"/>
          <w:shd w:val="clear" w:color="auto" w:fill="FFFFFF"/>
        </w:rPr>
        <w:t>Bs16S1</w:t>
      </w:r>
      <w:r w:rsidRPr="00E310B4">
        <w:rPr>
          <w:rFonts w:asciiTheme="majorBidi" w:hAnsiTheme="majorBidi" w:cstheme="majorBidi"/>
        </w:rPr>
        <w:t>/</w:t>
      </w:r>
      <w:r w:rsidRPr="00E310B4">
        <w:rPr>
          <w:rFonts w:asciiTheme="majorBidi" w:hAnsiTheme="majorBidi" w:cstheme="majorBidi"/>
          <w:shd w:val="clear" w:color="auto" w:fill="FFFFFF"/>
        </w:rPr>
        <w:t>Bs16SR</w:t>
      </w:r>
      <w:r w:rsidRPr="00E310B4">
        <w:rPr>
          <w:rFonts w:asciiTheme="majorBidi" w:hAnsiTheme="majorBidi" w:cstheme="majorBidi"/>
        </w:rPr>
        <w:t xml:space="preserve"> primers, respectively</w:t>
      </w:r>
      <w:r w:rsidRPr="00E310B4">
        <w:rPr>
          <w:rFonts w:asciiTheme="majorBidi" w:hAnsiTheme="majorBidi" w:cstheme="majorBidi"/>
          <w:sz w:val="24"/>
          <w:szCs w:val="24"/>
        </w:rPr>
        <w:t xml:space="preserve">. </w:t>
      </w:r>
    </w:p>
    <w:p w14:paraId="0211576F" w14:textId="77777777" w:rsidR="00C66B48" w:rsidRPr="00BD11B0" w:rsidRDefault="00C66B48" w:rsidP="009105F5">
      <w:pPr>
        <w:spacing w:line="240" w:lineRule="auto"/>
        <w:rPr>
          <w:rFonts w:cs="Times New Roman"/>
          <w:sz w:val="20"/>
          <w:szCs w:val="20"/>
        </w:rPr>
      </w:pPr>
    </w:p>
    <w:p w14:paraId="1F712D94" w14:textId="77DAC026" w:rsidR="00B642B3" w:rsidRPr="00250343" w:rsidRDefault="00B642B3" w:rsidP="00250343"/>
    <w:sectPr w:rsidR="00B642B3" w:rsidRPr="00250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635"/>
    <w:rsid w:val="00067668"/>
    <w:rsid w:val="0009574D"/>
    <w:rsid w:val="001115E9"/>
    <w:rsid w:val="00147317"/>
    <w:rsid w:val="00250343"/>
    <w:rsid w:val="004053CF"/>
    <w:rsid w:val="004E72BD"/>
    <w:rsid w:val="006431F3"/>
    <w:rsid w:val="006A1938"/>
    <w:rsid w:val="00887F38"/>
    <w:rsid w:val="00890A55"/>
    <w:rsid w:val="008D0635"/>
    <w:rsid w:val="009105F5"/>
    <w:rsid w:val="009C51A6"/>
    <w:rsid w:val="00AA184F"/>
    <w:rsid w:val="00B03369"/>
    <w:rsid w:val="00B5385F"/>
    <w:rsid w:val="00B642B3"/>
    <w:rsid w:val="00B93A5E"/>
    <w:rsid w:val="00BD11B0"/>
    <w:rsid w:val="00C66B48"/>
    <w:rsid w:val="00CB76A5"/>
    <w:rsid w:val="00CE19E8"/>
    <w:rsid w:val="00D06DBD"/>
    <w:rsid w:val="00D17B2A"/>
    <w:rsid w:val="00DB7CC0"/>
    <w:rsid w:val="00EE5003"/>
    <w:rsid w:val="00F16DB3"/>
    <w:rsid w:val="00F4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BE2721"/>
  <w15:chartTrackingRefBased/>
  <w15:docId w15:val="{3A72A312-B9AC-4D22-B612-31F517B9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19BF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0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5034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B538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90A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0A55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9C51A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11/j.1462-2920.2007.01329.x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doi.org/10.1094/PDIS-12-21-2650-RE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yperlink" Target="https://doi.org/10.1007/BF029334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44A475FD71574AB4E9BA6256738D9B" ma:contentTypeVersion="13" ma:contentTypeDescription="Create a new document." ma:contentTypeScope="" ma:versionID="c835981e2c8180f263daf5b27b41add2">
  <xsd:schema xmlns:xsd="http://www.w3.org/2001/XMLSchema" xmlns:xs="http://www.w3.org/2001/XMLSchema" xmlns:p="http://schemas.microsoft.com/office/2006/metadata/properties" xmlns:ns3="93b81621-d69a-447a-949c-5ce46d9b0cd8" targetNamespace="http://schemas.microsoft.com/office/2006/metadata/properties" ma:root="true" ma:fieldsID="aceabb363c29aa1a2600b808355adc92" ns3:_="">
    <xsd:import namespace="93b81621-d69a-447a-949c-5ce46d9b0c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b81621-d69a-447a-949c-5ce46d9b0c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7621EC-5D24-4819-8D17-4E8F31A38F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1DA820-CEA7-4945-8F61-2FB661C649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b81621-d69a-447a-949c-5ce46d9b0c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907543-09E5-4A37-A6C3-54006C210ECF}">
  <ds:schemaRefs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93b81621-d69a-447a-949c-5ce46d9b0cd8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904</Words>
  <Characters>5916</Characters>
  <Application>Microsoft Office Word</Application>
  <DocSecurity>0</DocSecurity>
  <Lines>422</Lines>
  <Paragraphs>309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Elkomy</dc:creator>
  <cp:keywords/>
  <dc:description/>
  <cp:lastModifiedBy>M Elkomy</cp:lastModifiedBy>
  <cp:revision>2</cp:revision>
  <dcterms:created xsi:type="dcterms:W3CDTF">2025-06-11T13:31:00Z</dcterms:created>
  <dcterms:modified xsi:type="dcterms:W3CDTF">2025-06-11T13:31:00Z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0523245a-f111-4ac3-a8a6-c57f042c6b8f</vt:lpwstr>
  </property>
  <property fmtid="{D5CDD505-2E9C-101B-9397-08002B2CF9AE}" pid="3" name="ContentTypeId">
    <vt:lpwstr>0x010100B944A475FD71574AB4E9BA6256738D9B</vt:lpwstr>
  </property>
</Properties>
</file>