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76A1" w14:textId="77777777" w:rsidR="002E0F59" w:rsidRDefault="002E0F59" w:rsidP="002E0F59">
      <w:pPr>
        <w:jc w:val="both"/>
        <w:rPr>
          <w:rFonts w:ascii="Arial" w:hAnsi="Arial" w:cs="Arial"/>
        </w:rPr>
      </w:pPr>
      <w:r w:rsidRPr="00700EAC">
        <w:rPr>
          <w:rFonts w:ascii="Arial" w:hAnsi="Arial" w:cs="Arial"/>
          <w:b/>
          <w:bCs/>
        </w:rPr>
        <w:t>Title:</w:t>
      </w:r>
    </w:p>
    <w:p w14:paraId="633AF0D4" w14:textId="77777777" w:rsidR="002E0F59" w:rsidRPr="00700EAC" w:rsidRDefault="002E0F59" w:rsidP="002E0F59">
      <w:pPr>
        <w:jc w:val="both"/>
        <w:rPr>
          <w:rFonts w:ascii="Arial" w:hAnsi="Arial" w:cs="Arial"/>
        </w:rPr>
      </w:pPr>
      <w:r w:rsidRPr="00700EAC">
        <w:rPr>
          <w:rFonts w:ascii="Arial" w:hAnsi="Arial" w:cs="Arial"/>
        </w:rPr>
        <w:t>A High-Throughput Drug Screening Assay for Anti-Tau Aggregation Using Split GFP and Flow Cytometry</w:t>
      </w:r>
    </w:p>
    <w:p w14:paraId="6735D5E5" w14:textId="77777777" w:rsidR="002E0F59" w:rsidRDefault="002E0F59" w:rsidP="002E0F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Authors</w:t>
      </w:r>
    </w:p>
    <w:p w14:paraId="175BAD14" w14:textId="77777777" w:rsidR="002E0F59" w:rsidRDefault="002E0F59" w:rsidP="002E0F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Omnia M. H. I</w:t>
      </w:r>
      <w:r w:rsidRPr="005E1E22">
        <w:rPr>
          <w:rFonts w:ascii="Arial" w:hAnsi="Arial" w:cs="Arial"/>
        </w:rPr>
        <w:t>brahium</w:t>
      </w:r>
      <w:proofErr w:type="gramStart"/>
      <w:r w:rsidRPr="00E30638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  <w:r w:rsidRPr="005E1E22">
        <w:rPr>
          <w:rFonts w:ascii="Arial" w:hAnsi="Arial" w:cs="Arial"/>
        </w:rPr>
        <w:t>Taiwo A</w:t>
      </w:r>
      <w:r>
        <w:rPr>
          <w:rFonts w:ascii="Arial" w:hAnsi="Arial" w:cs="Arial"/>
        </w:rPr>
        <w:t xml:space="preserve">. </w:t>
      </w:r>
      <w:r w:rsidRPr="005E1E22">
        <w:rPr>
          <w:rFonts w:ascii="Arial" w:hAnsi="Arial" w:cs="Arial"/>
        </w:rPr>
        <w:t>Ademoye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; </w:t>
      </w:r>
      <w:r w:rsidRPr="005E1E22">
        <w:rPr>
          <w:rFonts w:ascii="Arial" w:hAnsi="Arial" w:cs="Arial"/>
        </w:rPr>
        <w:t>Jessica S</w:t>
      </w:r>
      <w:r>
        <w:rPr>
          <w:rFonts w:ascii="Arial" w:hAnsi="Arial" w:cs="Arial"/>
        </w:rPr>
        <w:t xml:space="preserve"> </w:t>
      </w:r>
      <w:r w:rsidRPr="005E1E22">
        <w:rPr>
          <w:rFonts w:ascii="Arial" w:hAnsi="Arial" w:cs="Arial"/>
        </w:rPr>
        <w:t>Fortin</w:t>
      </w:r>
      <w:r w:rsidRPr="00E3063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; </w:t>
      </w:r>
      <w:r w:rsidRPr="005E1E22">
        <w:rPr>
          <w:rFonts w:ascii="Arial" w:hAnsi="Arial" w:cs="Arial"/>
        </w:rPr>
        <w:t>Raluca</w:t>
      </w:r>
      <w:r>
        <w:rPr>
          <w:rFonts w:ascii="Arial" w:hAnsi="Arial" w:cs="Arial"/>
        </w:rPr>
        <w:t xml:space="preserve"> Ostafe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*</w:t>
      </w:r>
    </w:p>
    <w:p w14:paraId="330B878C" w14:textId="77777777" w:rsidR="002E0F59" w:rsidRPr="0066273D" w:rsidRDefault="002E0F59" w:rsidP="002E0F59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4F5F36">
        <w:rPr>
          <w:rFonts w:ascii="Arial" w:hAnsi="Arial" w:cs="Arial"/>
          <w:sz w:val="18"/>
          <w:szCs w:val="18"/>
        </w:rPr>
        <w:t>Purdue Institute of Inflammation, Immunology and Infectious Diseases, Purdue University, West Lafayette, IN 47907, USA</w:t>
      </w:r>
    </w:p>
    <w:p w14:paraId="5C5BD0F0" w14:textId="77777777" w:rsidR="002E0F59" w:rsidRPr="0066273D" w:rsidRDefault="002E0F59" w:rsidP="002E0F59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66273D">
        <w:rPr>
          <w:rFonts w:ascii="Arial" w:hAnsi="Arial" w:cs="Arial"/>
          <w:sz w:val="18"/>
          <w:szCs w:val="18"/>
        </w:rPr>
        <w:t>Department of Basic Medical Sciences, College of Veterinary Medicine, Purdue University, West Lafayette, Indiana 47907, United States</w:t>
      </w:r>
    </w:p>
    <w:p w14:paraId="5B6DA612" w14:textId="77777777" w:rsidR="002E0F59" w:rsidRDefault="002E0F59" w:rsidP="002E0F59">
      <w:pPr>
        <w:jc w:val="both"/>
        <w:rPr>
          <w:rFonts w:ascii="Arial" w:hAnsi="Arial" w:cs="Arial"/>
        </w:rPr>
      </w:pPr>
    </w:p>
    <w:p w14:paraId="54EBE30A" w14:textId="77777777" w:rsidR="002E0F59" w:rsidRDefault="002E0F59" w:rsidP="002E0F59">
      <w:pPr>
        <w:jc w:val="both"/>
        <w:rPr>
          <w:rFonts w:ascii="Arial" w:hAnsi="Arial" w:cs="Arial"/>
        </w:rPr>
      </w:pPr>
    </w:p>
    <w:p w14:paraId="0A45BB0B" w14:textId="64B6D3E5" w:rsidR="002E0F59" w:rsidRDefault="002E0F59" w:rsidP="002E0F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Supplementary data</w:t>
      </w:r>
    </w:p>
    <w:p w14:paraId="3025476D" w14:textId="77777777" w:rsidR="002E0F59" w:rsidRDefault="002E0F59" w:rsidP="002E0F5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FDF5B" wp14:editId="2A4578D6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3302000" cy="2374900"/>
                <wp:effectExtent l="0" t="0" r="12700" b="12700"/>
                <wp:wrapTopAndBottom/>
                <wp:docPr id="352525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3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E333C" w14:textId="77777777" w:rsidR="002E0F59" w:rsidRDefault="002E0F59" w:rsidP="002E0F59">
                            <w:pPr>
                              <w:keepNext/>
                            </w:pPr>
                            <w:r w:rsidRPr="00A7444A">
                              <w:drawing>
                                <wp:inline distT="0" distB="0" distL="0" distR="0" wp14:anchorId="020CFEB9" wp14:editId="0F1E0F46">
                                  <wp:extent cx="3056467" cy="1746553"/>
                                  <wp:effectExtent l="0" t="0" r="4445" b="6350"/>
                                  <wp:docPr id="13847436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74366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1731" cy="1760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904ADA" w14:textId="77777777" w:rsidR="002E0F59" w:rsidRPr="005030DB" w:rsidRDefault="002E0F59" w:rsidP="002E0F59">
                            <w:pPr>
                              <w:jc w:val="both"/>
                              <w:rPr>
                                <w:i/>
                                <w:iCs/>
                                <w:color w:val="0E2841" w:themeColor="text2"/>
                                <w:sz w:val="18"/>
                                <w:szCs w:val="18"/>
                              </w:rPr>
                            </w:pP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Figure S </w: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instrText xml:space="preserve"> SEQ Figure_S \* ARABIC </w:instrTex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Style w:val="IntenseEmphasis"/>
                                <w:noProof/>
                                <w:color w:val="0E2841" w:themeColor="text2"/>
                                <w:sz w:val="18"/>
                                <w:szCs w:val="18"/>
                              </w:rPr>
                              <w:t>1</w: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MO-19-10, </w:t>
                            </w:r>
                            <w:r w:rsidRPr="00A7444A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N-(3,4-dichlorophenyl)-N′-[2-(1H-indol-3-</w:t>
                            </w:r>
                            <w:proofErr w:type="gramStart"/>
                            <w:r w:rsidRPr="00A7444A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yl)ethyl</w:t>
                            </w:r>
                            <w:proofErr w:type="gramEnd"/>
                            <w:r w:rsidRPr="00A7444A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]urea</w:t>
                            </w:r>
                            <w:r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, chemical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FDF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3.85pt;width:260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HYZNwIAAH0EAAAOAAAAZHJzL2Uyb0RvYy54bWysVNtu2zAMfR+wfxD0vti5tF2NOEWWIsOA&#13;&#10;oC2QDn1WZCk2JouapMTOvn6U7Fx6eRr2opAifUQeHmZ619aK7IV1FeicDgcpJUJzKCq9zenP5+WX&#13;&#10;r5Q4z3TBFGiR04Nw9G72+dO0MZkYQQmqEJYgiHZZY3Jaem+yJHG8FDVzAzBCY1CCrZlH126TwrIG&#13;&#10;0WuVjNL0OmnAFsYCF87h7X0XpLOIL6Xg/lFKJzxROcXafDxtPDfhTGZTlm0tM2XF+zLYP1RRs0rj&#13;&#10;oyeoe+YZ2dnqHVRdcQsOpB9wqBOQsuIi9oDdDNM33axLZkTsBclx5kST+3+w/GG/Nk+W+PYbtDjA&#13;&#10;QEhjXObwMvTTSluHX6yUYBwpPJxoE60nHC/H4xRHgSGOsdH4ZnKLDuIk58+Ndf67gJoEI6cW5xLp&#13;&#10;YvuV813qMSW85kBVxbJSKjpBC2KhLNkznKLysUgEf5WlNGlyej2+SiPwq1iAPn2/UYz/6su7yEI8&#13;&#10;pbHmc/PB8u2m7RnZQHFAoix0GnKGLyvEXTHnn5hF0SABuAj+EQ+pAIuB3qKkBPvno/uQj7PEKCUN&#13;&#10;ijCn7veOWUGJ+qFxyrfDySSoNjqTq5sROvYysrmM6F29AGRoiCtneDRDvldHU1qoX3Bf5uFVDDHN&#13;&#10;8e2c+qO58N1q4L5xMZ/HJNSpYX6l14YH6DCRwOdz+8Ks6efpUQoPcJQry96MtcsNX2qY7zzIKs48&#13;&#10;ENyx2vOOGo+q6fcxLNGlH7PO/xqzvwAAAP//AwBQSwMEFAAGAAgAAAAhAAq2BpzfAAAADAEAAA8A&#13;&#10;AABkcnMvZG93bnJldi54bWxMj8tOwzAQRfdI/IM1SOyo0wpISDOpeBQ2rCiItRu7dkQ8jmw3DX/P&#13;&#10;sILNSKOr+zjNZvaDmExMfSCE5aIAYagLuieL8PH+fFWBSFmRVkMgg/BtEmza87NG1Tqc6M1Mu2wF&#13;&#10;h1CqFYLLeaylTJ0zXqVFGA2xdgjRq8xvtFJHdeJwP8hVUdxKr3riBqdG8+hM97U7eoTtg72zXaWi&#13;&#10;21a676f58/BqXxAvL+anNZ/7NYhs5vzngF8G3g8tD9uHI+kkBgSmyQirsgTB6g03gtgjXBfLEmTb&#13;&#10;yP8Q7Q8AAAD//wMAUEsBAi0AFAAGAAgAAAAhALaDOJL+AAAA4QEAABMAAAAAAAAAAAAAAAAAAAAA&#13;&#10;AFtDb250ZW50X1R5cGVzXS54bWxQSwECLQAUAAYACAAAACEAOP0h/9YAAACUAQAACwAAAAAAAAAA&#13;&#10;AAAAAAAvAQAAX3JlbHMvLnJlbHNQSwECLQAUAAYACAAAACEAeYB2GTcCAAB9BAAADgAAAAAAAAAA&#13;&#10;AAAAAAAuAgAAZHJzL2Uyb0RvYy54bWxQSwECLQAUAAYACAAAACEACrYGnN8AAAAMAQAADwAAAAAA&#13;&#10;AAAAAAAAAACRBAAAZHJzL2Rvd25yZXYueG1sUEsFBgAAAAAEAAQA8wAAAJ0FAAAAAA==&#13;&#10;" fillcolor="white [3201]" strokeweight=".5pt">
                <v:textbox>
                  <w:txbxContent>
                    <w:p w14:paraId="42CE333C" w14:textId="77777777" w:rsidR="002E0F59" w:rsidRDefault="002E0F59" w:rsidP="002E0F59">
                      <w:pPr>
                        <w:keepNext/>
                      </w:pPr>
                      <w:r w:rsidRPr="00A7444A">
                        <w:drawing>
                          <wp:inline distT="0" distB="0" distL="0" distR="0" wp14:anchorId="020CFEB9" wp14:editId="0F1E0F46">
                            <wp:extent cx="3056467" cy="1746553"/>
                            <wp:effectExtent l="0" t="0" r="4445" b="6350"/>
                            <wp:docPr id="13847436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474366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1731" cy="1760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904ADA" w14:textId="77777777" w:rsidR="002E0F59" w:rsidRPr="005030DB" w:rsidRDefault="002E0F59" w:rsidP="002E0F59">
                      <w:pPr>
                        <w:jc w:val="both"/>
                        <w:rPr>
                          <w:i/>
                          <w:iCs/>
                          <w:color w:val="0E2841" w:themeColor="text2"/>
                          <w:sz w:val="18"/>
                          <w:szCs w:val="18"/>
                        </w:rPr>
                      </w:pP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Figure S </w: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begin"/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instrText xml:space="preserve"> SEQ Figure_S \* ARABIC </w:instrTex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Style w:val="IntenseEmphasis"/>
                          <w:noProof/>
                          <w:color w:val="0E2841" w:themeColor="text2"/>
                          <w:sz w:val="18"/>
                          <w:szCs w:val="18"/>
                        </w:rPr>
                        <w:t>1</w: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end"/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MO-19-10, </w:t>
                      </w:r>
                      <w:r w:rsidRPr="00A7444A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N-(3,4-dichlorophenyl)-N′-[2-(1H-indol-3-</w:t>
                      </w:r>
                      <w:proofErr w:type="gramStart"/>
                      <w:r w:rsidRPr="00A7444A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yl)ethyl</w:t>
                      </w:r>
                      <w:proofErr w:type="gramEnd"/>
                      <w:r w:rsidRPr="00A7444A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]urea</w:t>
                      </w:r>
                      <w:r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, chemical formula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31DD71" w14:textId="77777777" w:rsidR="002E0F59" w:rsidRDefault="002E0F59" w:rsidP="002E0F59">
      <w:pPr>
        <w:jc w:val="both"/>
        <w:rPr>
          <w:rFonts w:ascii="Arial" w:hAnsi="Arial" w:cs="Arial"/>
        </w:rPr>
      </w:pPr>
    </w:p>
    <w:p w14:paraId="1108FE69" w14:textId="0860D4E3" w:rsidR="002E0F59" w:rsidRDefault="002E0F59" w:rsidP="002E0F5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79AD" wp14:editId="46F13B6D">
                <wp:simplePos x="0" y="0"/>
                <wp:positionH relativeFrom="column">
                  <wp:posOffset>101600</wp:posOffset>
                </wp:positionH>
                <wp:positionV relativeFrom="paragraph">
                  <wp:posOffset>74718</wp:posOffset>
                </wp:positionV>
                <wp:extent cx="3344333" cy="4064000"/>
                <wp:effectExtent l="0" t="0" r="8890" b="12700"/>
                <wp:wrapNone/>
                <wp:docPr id="2898344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333" cy="40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70D5C" w14:textId="77777777" w:rsidR="002E0F59" w:rsidRDefault="002E0F59" w:rsidP="002E0F59">
                            <w:pPr>
                              <w:keepNext/>
                            </w:pPr>
                            <w:r w:rsidRPr="00B5683B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CC2E683" wp14:editId="55A2D41C">
                                  <wp:extent cx="3318934" cy="2388829"/>
                                  <wp:effectExtent l="0" t="0" r="0" b="0"/>
                                  <wp:docPr id="1024406287" name="Picture 1" descr="A diagram of a number of different types of data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4406287" name="Picture 1" descr="A diagram of a number of different types of data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05" t="22792" r="43803" b="94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605" cy="242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D85D9C" w14:textId="77777777" w:rsidR="002E0F59" w:rsidRPr="005030DB" w:rsidRDefault="002E0F59" w:rsidP="002E0F59">
                            <w:pPr>
                              <w:jc w:val="both"/>
                              <w:rPr>
                                <w:i/>
                                <w:iCs/>
                                <w:color w:val="0E2841" w:themeColor="text2"/>
                                <w:sz w:val="18"/>
                                <w:szCs w:val="18"/>
                              </w:rPr>
                            </w:pP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Figure S </w: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instrText xml:space="preserve"> SEQ Figure_S \* ARABIC </w:instrTex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Style w:val="IntenseEmphasis"/>
                                <w:noProof/>
                                <w:color w:val="0E2841" w:themeColor="text2"/>
                                <w:sz w:val="18"/>
                                <w:szCs w:val="18"/>
                              </w:rPr>
                              <w:t>2</w:t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MO-19-10, a urea-based compound, reduced the aggregation of tau 2N3R isoform by about 75% and other isoforms by less than 50%. The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ThS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fluorescence curves are indicative of the aggregation kinetics of tau isoform (A) 0N3R, (B) 0N4R, (C) 2N3R, and (D) 2N4R at 12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μM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in PBS-treated with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chelex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beads. The solution was supplemented with 150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μM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heparin, 5 mM dithiothreitol (DTT), 40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μM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ThS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, and 10 mg/mL arachidonic acid </w:t>
                            </w:r>
                            <w:proofErr w:type="gram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in order to</w:t>
                            </w:r>
                            <w:proofErr w:type="gram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induce the aggregation. The control condition contained 0.25% DMSO, while the urea compound was tested at a concentration of 100 </w:t>
                            </w:r>
                            <w:proofErr w:type="spellStart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μM</w:t>
                            </w:r>
                            <w:proofErr w:type="spellEnd"/>
                            <w:r w:rsidRPr="005030DB">
                              <w:rPr>
                                <w:rStyle w:val="IntenseEmphasis"/>
                                <w:color w:val="0E2841" w:themeColor="text2"/>
                                <w:sz w:val="18"/>
                                <w:szCs w:val="18"/>
                              </w:rPr>
                              <w:t>. The data represented by each curve are an average of three independent replicates.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79AD" id="_x0000_s1027" type="#_x0000_t202" style="position:absolute;left:0;text-align:left;margin-left:8pt;margin-top:5.9pt;width:263.35pt;height:3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bwFOgIAAIQEAAAOAAAAZHJzL2Uyb0RvYy54bWysVE1v2zAMvQ/YfxB0X+zEbrYZcYosRYYB&#13;&#10;QVsgHXpWZCk2JouapMTOfv0o5bvbadhFJkXqkXwkPbnvW0V2wroGdEmHg5QSoTlUjd6U9PvL4sMn&#13;&#10;SpxnumIKtCjpXjh6P33/btKZQoygBlUJSxBEu6IzJa29N0WSOF6LlrkBGKHRKMG2zKNqN0llWYfo&#13;&#10;rUpGaTpOOrCVscCFc3j7cDDSacSXUnD/JKUTnqiSYm4+njae63Am0wkrNpaZuuHHNNg/ZNGyRmPQ&#13;&#10;M9QD84xsbfMHVNtwCw6kH3BoE5Cy4SLWgNUM0zfVrGpmRKwFyXHmTJP7f7D8cbcyz5b4/gv02MBA&#13;&#10;SGdc4fAy1NNL24YvZkrQjhTuz7SJ3hOOl1mW51mWUcLRlqfjPE0jscnlubHOfxXQkiCU1GJfIl1s&#13;&#10;t3QeQ6LrySVEc6CaatEoFZUwC2KuLNkx7KLyMUl8ceOlNOlKOs7u0gh8YwvQ5/drxfiPUOYtAmpK&#13;&#10;4+Wl+CD5ft2TproiZg3VHvmycBglZ/iiQfglc/6ZWZwdpAj3wT/hIRVgTnCUKKnB/vrbffDHlqKV&#13;&#10;kg5nsaTu55ZZQYn6prHZn4d5HoY3KvndxxEq9tqyvrbobTsHJGqIm2d4FIO/VydRWmhfcW1mISqa&#13;&#10;mOYYu6T+JM79YUNw7biYzaITjqthfqlXhgfo0JhA60v/yqw5ttXjRDzCaWpZ8aa7B9/wUsNs60E2&#13;&#10;sfWB5wOrR/px1GN3jmsZdulaj16Xn8f0NwAAAP//AwBQSwMEFAAGAAgAAAAhAAQOqlDgAAAADgEA&#13;&#10;AA8AAABkcnMvZG93bnJldi54bWxMj09PwzAMxe9IfIfISNxYuomVrms68Wdw2YmBds4aL4lokirJ&#13;&#10;uvLtMSe42Hp+sv1+zWZyPRsxJhu8gPmsAIa+C8p6LeDz4/WuApay9Er2waOAb0ywaa+vGlmrcPHv&#13;&#10;OO6zZnTEp1oKMDkPNeepM+hkmoUBPXmnEJ3MJKPmKsoLHXc9XxRFyZ20nj4YOeCzwe5rf3YCtk96&#13;&#10;pbtKRrOtlLXjdDjt9JsQtzfTy5rK4xpYxin/bcAvA+WHloIdw9mrxHrSJfFk6nPCIH95v3gAdhRQ&#13;&#10;LmnC24b/x2h/AAAA//8DAFBLAQItABQABgAIAAAAIQC2gziS/gAAAOEBAAATAAAAAAAAAAAAAAAA&#13;&#10;AAAAAABbQ29udGVudF9UeXBlc10ueG1sUEsBAi0AFAAGAAgAAAAhADj9If/WAAAAlAEAAAsAAAAA&#13;&#10;AAAAAAAAAAAALwEAAF9yZWxzLy5yZWxzUEsBAi0AFAAGAAgAAAAhAL0RvAU6AgAAhAQAAA4AAAAA&#13;&#10;AAAAAAAAAAAALgIAAGRycy9lMm9Eb2MueG1sUEsBAi0AFAAGAAgAAAAhAAQOqlDgAAAADgEAAA8A&#13;&#10;AAAAAAAAAAAAAAAAlAQAAGRycy9kb3ducmV2LnhtbFBLBQYAAAAABAAEAPMAAAChBQAAAAA=&#13;&#10;" fillcolor="white [3201]" strokeweight=".5pt">
                <v:textbox>
                  <w:txbxContent>
                    <w:p w14:paraId="2F470D5C" w14:textId="77777777" w:rsidR="002E0F59" w:rsidRDefault="002E0F59" w:rsidP="002E0F59">
                      <w:pPr>
                        <w:keepNext/>
                      </w:pPr>
                      <w:r w:rsidRPr="00B5683B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CC2E683" wp14:editId="55A2D41C">
                            <wp:extent cx="3318934" cy="2388829"/>
                            <wp:effectExtent l="0" t="0" r="0" b="0"/>
                            <wp:docPr id="1024406287" name="Picture 1" descr="A diagram of a number of different types of data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4406287" name="Picture 1" descr="A diagram of a number of different types of data&#10;&#10;AI-generated content may be incorrect.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05" t="22792" r="43803" b="94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68605" cy="24245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D85D9C" w14:textId="77777777" w:rsidR="002E0F59" w:rsidRPr="005030DB" w:rsidRDefault="002E0F59" w:rsidP="002E0F59">
                      <w:pPr>
                        <w:jc w:val="both"/>
                        <w:rPr>
                          <w:i/>
                          <w:iCs/>
                          <w:color w:val="0E2841" w:themeColor="text2"/>
                          <w:sz w:val="18"/>
                          <w:szCs w:val="18"/>
                        </w:rPr>
                      </w:pP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Figure S </w: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begin"/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instrText xml:space="preserve"> SEQ Figure_S \* ARABIC </w:instrTex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Style w:val="IntenseEmphasis"/>
                          <w:noProof/>
                          <w:color w:val="0E2841" w:themeColor="text2"/>
                          <w:sz w:val="18"/>
                          <w:szCs w:val="18"/>
                        </w:rPr>
                        <w:t>2</w:t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fldChar w:fldCharType="end"/>
                      </w:r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MO-19-10, a urea-based compound, reduced the aggregation of tau 2N3R isoform by about 75% and other isoforms by less than 50%. The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ThS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fluorescence curves are indicative of the aggregation kinetics of tau isoform (A) 0N3R, (B) 0N4R, (C) 2N3R, and (D) 2N4R at 12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μM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in PBS-treated with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chelex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beads. The solution was supplemented with 150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μM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heparin, 5 mM dithiothreitol (DTT), 40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μM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ThS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, and 10 mg/mL arachidonic acid </w:t>
                      </w:r>
                      <w:proofErr w:type="gram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in order to</w:t>
                      </w:r>
                      <w:proofErr w:type="gram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 xml:space="preserve"> induce the aggregation. The control condition contained 0.25% DMSO, while the urea compound was tested at a concentration of 100 </w:t>
                      </w:r>
                      <w:proofErr w:type="spellStart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μM</w:t>
                      </w:r>
                      <w:proofErr w:type="spellEnd"/>
                      <w:r w:rsidRPr="005030DB">
                        <w:rPr>
                          <w:rStyle w:val="IntenseEmphasis"/>
                          <w:color w:val="0E2841" w:themeColor="text2"/>
                          <w:sz w:val="18"/>
                          <w:szCs w:val="18"/>
                        </w:rPr>
                        <w:t>. The data represented by each curve are an average of three independent replicates.</w:t>
                      </w:r>
                    </w:p>
                  </w:txbxContent>
                </v:textbox>
              </v:shape>
            </w:pict>
          </mc:Fallback>
        </mc:AlternateContent>
      </w:r>
    </w:p>
    <w:p w14:paraId="2114CB20" w14:textId="76528EA1" w:rsidR="002E0F59" w:rsidRDefault="002E0F59" w:rsidP="002E0F59">
      <w:pPr>
        <w:jc w:val="both"/>
        <w:rPr>
          <w:rFonts w:ascii="Arial" w:hAnsi="Arial" w:cs="Arial"/>
        </w:rPr>
      </w:pPr>
    </w:p>
    <w:p w14:paraId="35C16151" w14:textId="0153DA5C" w:rsidR="002E0F59" w:rsidRDefault="002E0F59" w:rsidP="002E0F59">
      <w:pPr>
        <w:jc w:val="both"/>
        <w:rPr>
          <w:rFonts w:ascii="Arial" w:hAnsi="Arial" w:cs="Arial"/>
        </w:rPr>
      </w:pPr>
    </w:p>
    <w:p w14:paraId="56BF4055" w14:textId="61937BAB" w:rsidR="002E0F59" w:rsidRDefault="002E0F59" w:rsidP="002E0F59">
      <w:pPr>
        <w:jc w:val="both"/>
        <w:rPr>
          <w:rFonts w:ascii="Arial" w:hAnsi="Arial" w:cs="Arial"/>
        </w:rPr>
      </w:pPr>
    </w:p>
    <w:p w14:paraId="0213E9E7" w14:textId="6AE23858" w:rsidR="002E0F59" w:rsidRDefault="002E0F59" w:rsidP="002E0F59">
      <w:pPr>
        <w:jc w:val="both"/>
        <w:rPr>
          <w:rFonts w:ascii="Arial" w:hAnsi="Arial" w:cs="Arial"/>
        </w:rPr>
      </w:pPr>
    </w:p>
    <w:p w14:paraId="51010168" w14:textId="61B21873" w:rsidR="002E0F59" w:rsidRPr="00700EAC" w:rsidRDefault="002E0F59" w:rsidP="002E0F59">
      <w:pPr>
        <w:jc w:val="both"/>
        <w:rPr>
          <w:rFonts w:ascii="Arial" w:hAnsi="Arial" w:cs="Arial"/>
        </w:rPr>
      </w:pPr>
    </w:p>
    <w:p w14:paraId="0CBF3F60" w14:textId="77777777" w:rsidR="008E37C9" w:rsidRDefault="008E37C9"/>
    <w:sectPr w:rsidR="008E37C9" w:rsidSect="002E0F59">
      <w:footerReference w:type="even" r:id="rId7"/>
      <w:footerReference w:type="default" r:id="rId8"/>
      <w:pgSz w:w="12240" w:h="15840"/>
      <w:pgMar w:top="1440" w:right="1080" w:bottom="1440" w:left="108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0130360"/>
      <w:docPartObj>
        <w:docPartGallery w:val="Page Numbers (Bottom of Page)"/>
        <w:docPartUnique/>
      </w:docPartObj>
    </w:sdtPr>
    <w:sdtContent>
      <w:p w14:paraId="3514D601" w14:textId="77777777" w:rsidR="00000000" w:rsidRDefault="00000000" w:rsidP="009701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62C518" w14:textId="77777777" w:rsidR="00000000" w:rsidRDefault="00000000" w:rsidP="000862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9019744"/>
      <w:docPartObj>
        <w:docPartGallery w:val="Page Numbers (Bottom of Page)"/>
        <w:docPartUnique/>
      </w:docPartObj>
    </w:sdtPr>
    <w:sdtContent>
      <w:p w14:paraId="2AE255A5" w14:textId="77777777" w:rsidR="00000000" w:rsidRDefault="00000000" w:rsidP="009701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7FC6545" w14:textId="77777777" w:rsidR="00000000" w:rsidRDefault="00000000" w:rsidP="000862E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439CF"/>
    <w:multiLevelType w:val="hybridMultilevel"/>
    <w:tmpl w:val="09CA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1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59"/>
    <w:rsid w:val="000A4947"/>
    <w:rsid w:val="000B1DBD"/>
    <w:rsid w:val="00115064"/>
    <w:rsid w:val="00190CBF"/>
    <w:rsid w:val="001E095F"/>
    <w:rsid w:val="00227888"/>
    <w:rsid w:val="002E0F59"/>
    <w:rsid w:val="00384D76"/>
    <w:rsid w:val="003F56C2"/>
    <w:rsid w:val="00426E51"/>
    <w:rsid w:val="004854FB"/>
    <w:rsid w:val="004D66BD"/>
    <w:rsid w:val="00547F31"/>
    <w:rsid w:val="005F0DBB"/>
    <w:rsid w:val="00773166"/>
    <w:rsid w:val="00847ADD"/>
    <w:rsid w:val="008E37C9"/>
    <w:rsid w:val="00910057"/>
    <w:rsid w:val="00AA4E77"/>
    <w:rsid w:val="00AF1AB7"/>
    <w:rsid w:val="00B21098"/>
    <w:rsid w:val="00E81B04"/>
    <w:rsid w:val="00E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D7B0"/>
  <w15:chartTrackingRefBased/>
  <w15:docId w15:val="{CF050AEA-D461-3247-AAB2-9716C58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5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F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E0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F59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E0F59"/>
  </w:style>
  <w:style w:type="character" w:styleId="LineNumber">
    <w:name w:val="line number"/>
    <w:basedOn w:val="DefaultParagraphFont"/>
    <w:uiPriority w:val="99"/>
    <w:semiHidden/>
    <w:unhideWhenUsed/>
    <w:rsid w:val="002E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414</Characters>
  <Application>Microsoft Office Word</Application>
  <DocSecurity>0</DocSecurity>
  <Lines>6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Ostafe</dc:creator>
  <cp:keywords/>
  <dc:description/>
  <cp:lastModifiedBy>Raluca Ostafe</cp:lastModifiedBy>
  <cp:revision>1</cp:revision>
  <dcterms:created xsi:type="dcterms:W3CDTF">2025-06-11T13:27:00Z</dcterms:created>
  <dcterms:modified xsi:type="dcterms:W3CDTF">2025-06-11T13:30:00Z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2025-06-11T13:30:00Z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76568841-f8bd-44f5-9959-590538fabbad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