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72BB3">
      <w:pPr>
        <w:ind w:firstLine="1205" w:firstLineChars="400"/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</w:rPr>
        <w:t>supplementary information files</w:t>
      </w:r>
    </w:p>
    <w:p w14:paraId="71B5CF34">
      <w:pPr>
        <w:rPr>
          <w:rFonts w:hint="eastAsia" w:ascii="宋体" w:hAnsi="宋体" w:eastAsia="宋体" w:cs="宋体"/>
          <w:color w:val="000000"/>
          <w:sz w:val="24"/>
          <w:lang w:eastAsia="zh-CN"/>
        </w:rPr>
      </w:pPr>
    </w:p>
    <w:p w14:paraId="2310E803">
      <w:pPr>
        <w:rPr>
          <w:rFonts w:hint="eastAsia" w:ascii="宋体" w:hAnsi="宋体" w:eastAsia="宋体" w:cs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drawing>
          <wp:inline distT="0" distB="0" distL="114300" distR="114300">
            <wp:extent cx="2435860" cy="1537970"/>
            <wp:effectExtent l="0" t="0" r="2540" b="1270"/>
            <wp:docPr id="1" name="图片 1" descr="1713002260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3002260772"/>
                    <pic:cNvPicPr>
                      <a:picLocks noChangeAspect="1"/>
                    </pic:cNvPicPr>
                  </pic:nvPicPr>
                  <pic:blipFill>
                    <a:blip r:embed="rId4"/>
                    <a:srcRect t="8342" b="23859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7C88A">
      <w:pPr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</w:t>
      </w:r>
    </w:p>
    <w:p w14:paraId="1C66BD72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Fig1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The patient's undeveloped breasts</w:t>
      </w:r>
    </w:p>
    <w:p w14:paraId="1CB6896A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</w:p>
    <w:p w14:paraId="041E44B3">
      <w:pPr>
        <w:rPr>
          <w:rFonts w:hint="eastAsia" w:ascii="宋体" w:hAnsi="宋体" w:cs="宋体"/>
          <w:color w:val="000000"/>
          <w:sz w:val="24"/>
          <w:lang w:val="en-US" w:eastAsia="zh-CN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           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drawing>
          <wp:inline distT="0" distB="0" distL="114300" distR="114300">
            <wp:extent cx="2389505" cy="2051685"/>
            <wp:effectExtent l="0" t="0" r="3175" b="5715"/>
            <wp:docPr id="2" name="图片 2" descr="生殖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生殖器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EC8C8">
      <w:pPr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60139238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Fig2: 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Genitalc haracteristics.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a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 Underdeveloped “phallus”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b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Urethral opening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color="auto" w:fill="FFFFFF"/>
        </w:rPr>
        <w:t>Labia majora-like structures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 </w:t>
      </w:r>
    </w:p>
    <w:p w14:paraId="6E6BA4E2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7C2A0010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29BC7C8B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2EE6E1FE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27FBC053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71E4F191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7F934E7C">
      <w:pP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22BB0AD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drawing>
          <wp:inline distT="0" distB="0" distL="114300" distR="114300">
            <wp:extent cx="2128520" cy="2049145"/>
            <wp:effectExtent l="0" t="0" r="5080" b="8255"/>
            <wp:docPr id="3" name="图片 3" descr="腹部矢状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腹部矢状面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 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drawing>
          <wp:inline distT="0" distB="0" distL="114300" distR="114300">
            <wp:extent cx="2321560" cy="2048510"/>
            <wp:effectExtent l="0" t="0" r="10160" b="8890"/>
            <wp:docPr id="4" name="图片 4" descr="横断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横断面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B82B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0E3DD415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drawing>
          <wp:inline distT="0" distB="0" distL="114300" distR="114300">
            <wp:extent cx="2225040" cy="2225040"/>
            <wp:effectExtent l="0" t="0" r="0" b="0"/>
            <wp:docPr id="5" name="图片 5" descr="矢状面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矢状面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 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drawing>
          <wp:inline distT="0" distB="0" distL="114300" distR="114300">
            <wp:extent cx="2340610" cy="2225040"/>
            <wp:effectExtent l="0" t="0" r="6350" b="0"/>
            <wp:docPr id="6" name="图片 6" descr="横断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横断面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C1A6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F6848A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ind w:right="0"/>
        <w:jc w:val="both"/>
        <w:textAlignment w:val="baseline"/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Fig3: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 Enhanced magnetic resonance imaging (MRI) scan of the entire abdomen.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A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 In the sagittal view of the pelvis, the uterus and part of the vagina are visible, while the prostate and male urethral structures are not seen.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B 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right adrenal tumor, with a cross-sectional size of approximately 42×33 mm.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 xml:space="preserve">C.D 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The sagittal and axial views show that the size of the uterine fibroid is 187×126mm×178mm.</w:t>
      </w:r>
    </w:p>
    <w:p w14:paraId="166F8215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726519F7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511355FF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7DD48B4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6E80D989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6FCB15A4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356F4128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15374B87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F9F29E9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49E9509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1BF0FD92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2230B563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09E89657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02639917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>Laboratory Investigations:</w:t>
      </w:r>
    </w:p>
    <w:p w14:paraId="67730F7F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66C217E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 xml:space="preserve">               Table 1   Baseline laboratory test </w:t>
      </w:r>
    </w:p>
    <w:tbl>
      <w:tblPr>
        <w:tblStyle w:val="3"/>
        <w:tblpPr w:leftFromText="180" w:rightFromText="180" w:vertAnchor="text" w:horzAnchor="page" w:tblpXSpec="center" w:tblpY="6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1048"/>
        <w:gridCol w:w="567"/>
        <w:gridCol w:w="1287"/>
        <w:gridCol w:w="2308"/>
      </w:tblGrid>
      <w:tr w14:paraId="44C9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left w:val="nil"/>
              <w:right w:val="nil"/>
            </w:tcBorders>
            <w:noWrap w:val="0"/>
            <w:vAlign w:val="center"/>
          </w:tcPr>
          <w:p w14:paraId="7614D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Inspection items</w:t>
            </w:r>
          </w:p>
        </w:tc>
        <w:tc>
          <w:tcPr>
            <w:tcW w:w="1048" w:type="dxa"/>
            <w:tcBorders>
              <w:left w:val="nil"/>
              <w:right w:val="nil"/>
            </w:tcBorders>
            <w:noWrap w:val="0"/>
            <w:vAlign w:val="center"/>
          </w:tcPr>
          <w:p w14:paraId="3AAF0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Result</w:t>
            </w:r>
          </w:p>
        </w:tc>
        <w:tc>
          <w:tcPr>
            <w:tcW w:w="567" w:type="dxa"/>
            <w:tcBorders>
              <w:left w:val="nil"/>
              <w:right w:val="nil"/>
            </w:tcBorders>
            <w:noWrap w:val="0"/>
            <w:vAlign w:val="center"/>
          </w:tcPr>
          <w:p w14:paraId="55DE1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Tip</w:t>
            </w:r>
          </w:p>
        </w:tc>
        <w:tc>
          <w:tcPr>
            <w:tcW w:w="1287" w:type="dxa"/>
            <w:tcBorders>
              <w:left w:val="nil"/>
              <w:right w:val="nil"/>
            </w:tcBorders>
            <w:noWrap w:val="0"/>
            <w:vAlign w:val="center"/>
          </w:tcPr>
          <w:p w14:paraId="3F4A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Unit Reference</w:t>
            </w:r>
          </w:p>
        </w:tc>
        <w:tc>
          <w:tcPr>
            <w:tcW w:w="2308" w:type="dxa"/>
            <w:tcBorders>
              <w:left w:val="nil"/>
              <w:right w:val="nil"/>
            </w:tcBorders>
            <w:noWrap w:val="0"/>
            <w:vAlign w:val="center"/>
          </w:tcPr>
          <w:p w14:paraId="33CB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Range</w:t>
            </w:r>
          </w:p>
        </w:tc>
      </w:tr>
      <w:tr w14:paraId="753E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2148D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Cortisol</w:t>
            </w:r>
          </w:p>
        </w:tc>
        <w:tc>
          <w:tcPr>
            <w:tcW w:w="104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0305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159.9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3CAF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0A3F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4A10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7-9AM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52.7-224.5</w:t>
            </w:r>
          </w:p>
          <w:p w14:paraId="2D82E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3-5PM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34.4-167.6</w:t>
            </w:r>
          </w:p>
        </w:tc>
      </w:tr>
      <w:tr w14:paraId="2D1D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6E3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AFP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8F2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C8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EC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381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0-8.1</w:t>
            </w:r>
          </w:p>
        </w:tc>
      </w:tr>
      <w:tr w14:paraId="0D6E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4BC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Total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prostate-specific antigen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8F4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087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9C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4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0.0-4.0</w:t>
            </w:r>
          </w:p>
        </w:tc>
      </w:tr>
      <w:tr w14:paraId="3ED9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5B7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Human epididymis protein 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55C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45F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↓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80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78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34.72-114.90</w:t>
            </w:r>
          </w:p>
        </w:tc>
      </w:tr>
      <w:tr w14:paraId="2802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4CF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Anti-Mullerian hormone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A7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&lt;0.0098</w:t>
            </w:r>
          </w:p>
          <w:p w14:paraId="36662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67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↓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D6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91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2.150--10.100</w:t>
            </w:r>
          </w:p>
        </w:tc>
      </w:tr>
      <w:tr w14:paraId="7CE3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13A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 Luteinizing hormone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39E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A6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7D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mIU/L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A2A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1. 5 9. 3</w:t>
            </w:r>
          </w:p>
        </w:tc>
      </w:tr>
      <w:tr w14:paraId="5A27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061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Testosterone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8FE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214.8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933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FA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ng/dl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8E7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187.72-694.19</w:t>
            </w:r>
          </w:p>
        </w:tc>
      </w:tr>
      <w:tr w14:paraId="7174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45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Progesterone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4A2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32.47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CE7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↑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24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3E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0.39-3.98</w:t>
            </w:r>
          </w:p>
        </w:tc>
      </w:tr>
      <w:tr w14:paraId="33D06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4C0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Follicle-stimulating hormone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FBF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9.3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EE9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BD2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mIU/L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A0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1.4-14.81</w:t>
            </w:r>
          </w:p>
        </w:tc>
      </w:tr>
      <w:tr w14:paraId="1EA7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34C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Prolactin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A5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11.5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A00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A7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AD8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2.1-17.7</w:t>
            </w:r>
          </w:p>
        </w:tc>
      </w:tr>
      <w:tr w14:paraId="337D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4F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Estradiol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914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B5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AB4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0C4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0.0-39.8</w:t>
            </w:r>
          </w:p>
        </w:tc>
      </w:tr>
      <w:tr w14:paraId="67CD2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DE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Aldosterone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35E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237.88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19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C83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5E3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Lying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10.0-160.0</w:t>
            </w:r>
          </w:p>
          <w:p w14:paraId="046A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Standing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-310</w:t>
            </w:r>
          </w:p>
        </w:tc>
      </w:tr>
      <w:tr w14:paraId="1948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FD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17α-Hydroxyprogesterone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A02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117.2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D0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↑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608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74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Male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0.31-2.01</w:t>
            </w:r>
          </w:p>
        </w:tc>
      </w:tr>
      <w:tr w14:paraId="78C9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5E1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Dehydroepiandrosterone Sulfate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28A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905.51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FE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↑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C52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ug/dl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AA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44.67-347.34</w:t>
            </w:r>
          </w:p>
        </w:tc>
      </w:tr>
      <w:tr w14:paraId="1CD4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BB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Dihydrotestosterone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2DF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691.64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D7A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↑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1A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pg/ml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1F0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Male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143.00-842</w:t>
            </w:r>
          </w:p>
          <w:p w14:paraId="12C6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Female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 xml:space="preserve"> 0.00-431</w:t>
            </w:r>
          </w:p>
        </w:tc>
      </w:tr>
      <w:tr w14:paraId="2709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CD7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E7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68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766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78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137-147</w:t>
            </w:r>
          </w:p>
        </w:tc>
      </w:tr>
      <w:tr w14:paraId="46A4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50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K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256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4.05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8C4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D7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52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3.5-5.3</w:t>
            </w:r>
          </w:p>
        </w:tc>
      </w:tr>
      <w:tr w14:paraId="2474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B1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Thyroid Stimulating Hormone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(TSH)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600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2.602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3DF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DEC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u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IU/L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1BB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0.55-4.78</w:t>
            </w:r>
          </w:p>
        </w:tc>
      </w:tr>
      <w:tr w14:paraId="4F93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35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Free Triiodothyronine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（FT4）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3BF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4,62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3A7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CC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8F3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3.5-6.5</w:t>
            </w:r>
          </w:p>
        </w:tc>
      </w:tr>
      <w:tr w14:paraId="3A03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1F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Free Thyroxine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（FT3）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EF2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16.27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9B9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654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mol/L</w:t>
            </w: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8BD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11.5-22.7</w:t>
            </w:r>
          </w:p>
        </w:tc>
      </w:tr>
      <w:tr w14:paraId="54F8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5AC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Androstenedione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C9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47.45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6A42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↑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810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mol/l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64D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360" w:lineRule="auto"/>
              <w:ind w:right="0"/>
              <w:jc w:val="left"/>
              <w:textAlignment w:val="baseline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1.75-7.68</w:t>
            </w:r>
          </w:p>
        </w:tc>
      </w:tr>
    </w:tbl>
    <w:p w14:paraId="1A04958B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49DAAED9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54E2F823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3E3555A2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31A1E8C5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004A832A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6648C262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2386A1AE"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</w:p>
    <w:p w14:paraId="5D8BDC76">
      <w:r>
        <w:drawing>
          <wp:inline distT="0" distB="0" distL="114300" distR="114300">
            <wp:extent cx="2506980" cy="2042795"/>
            <wp:effectExtent l="0" t="0" r="762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46020" cy="2073275"/>
            <wp:effectExtent l="0" t="0" r="762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32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Autospacing="0" w:line="360" w:lineRule="auto"/>
        <w:ind w:left="0" w:right="0" w:firstLine="1050" w:firstLineChars="500"/>
        <w:jc w:val="both"/>
        <w:textAlignment w:val="baseline"/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Fig4: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t>Chromosomal karyotype analysis of peripheral blood</w:t>
      </w:r>
    </w:p>
    <w:p w14:paraId="7E96F7A9">
      <w:pPr>
        <w:rPr>
          <w:rFonts w:hint="eastAsia"/>
          <w:lang w:val="en-US" w:eastAsia="zh-CN"/>
        </w:rPr>
      </w:pPr>
    </w:p>
    <w:p w14:paraId="25CD63E8">
      <w:r>
        <w:rPr>
          <w:rFonts w:hint="eastAsia"/>
          <w:lang w:val="en-US" w:eastAsia="zh-CN"/>
        </w:rPr>
        <w:t xml:space="preserve">       A </w:t>
      </w:r>
      <w:r>
        <w:drawing>
          <wp:inline distT="0" distB="0" distL="114300" distR="114300">
            <wp:extent cx="3524885" cy="899795"/>
            <wp:effectExtent l="0" t="0" r="10795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AFD3">
      <w:bookmarkStart w:id="0" w:name="_GoBack"/>
      <w:bookmarkEnd w:id="0"/>
    </w:p>
    <w:p w14:paraId="1A0B6025">
      <w:pPr>
        <w:ind w:firstLine="840" w:firstLineChars="400"/>
      </w:pPr>
      <w:r>
        <w:rPr>
          <w:rFonts w:hint="eastAsia"/>
          <w:lang w:val="en-US" w:eastAsia="zh-CN"/>
        </w:rPr>
        <w:t>B</w:t>
      </w:r>
      <w:r>
        <w:drawing>
          <wp:inline distT="0" distB="0" distL="114300" distR="114300">
            <wp:extent cx="3633470" cy="909320"/>
            <wp:effectExtent l="0" t="0" r="889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6048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7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2025-06-18T11:22:11Z</dcterms:created>
  <dc:creator>lcq830820</dc:creator>
  <cp:lastModifiedBy>tiantian</cp:lastModifiedBy>
  <dcterms:modified xsi:type="dcterms:W3CDTF">2025-06-18T11:42:41Z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eyJoZGlkIjoiZmI4ZGQyMWYwMjVmOTM0YzNlYmQ1YzZhMTY0ODI1Y2EiLCJ1c2VySWQiOiIyMzU1MTcxNTUifQ==</vt:lpwstr>
  </property>
  <property fmtid="{D5CDD505-2E9C-101B-9397-08002B2CF9AE}" pid="4" name="ICV">
    <vt:lpwstr>98D90120C7E44E25B956954C9E5D9A5B_12</vt:lpwstr>
  </property>
</Properties>
</file>