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17" w:afterAutospacing="0" w:line="180" w:lineRule="atLeast"/>
        <w:jc w:val="center"/>
        <w:rPr>
          <w:rFonts w:ascii="Times New Roman" w:hAnsi="Times New Roman"/>
        </w:rPr>
      </w:pPr>
      <w:r>
        <w:rPr>
          <w:rFonts w:ascii="Times New Roman" w:hAnsi="Times New Roman" w:eastAsia="Segoe UI"/>
          <w:color w:val="2A2B2E"/>
          <w:shd w:val="clear" w:color="auto" w:fill="FFFFFF"/>
        </w:rPr>
        <w:t>Experimental drug/reagent comparison table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2846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Drugs / Reagents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Manufacturers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Item No.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Glutathione Transaminase (GPT) Activity Assay Kit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BC1555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Glutathione transaminase (GOT) activity assay kit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BC1565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High-density lipoprotein cholesterol (HDL-C) assay kit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Nanjing Jiancheng Institute of Biological Engineering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A112-1-1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Low-density lipoprotein cholesterol (LDL-C) assay kit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Nanjing Jiancheng Institute of Biological Engineering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A113-1-1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Triglyceride (TG) assay kit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Nanjing Jiancheng Institute of Biological Engineering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A110-1-1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Total Cholesterol (TC/TCH) Assay Kit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Nanjing Jiancheng Institute of Biological Engineering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A111-1-1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Mouse IL-1β ELISA Assay Kit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Elabscience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22222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E-EL-M0037c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Mouse IL-6 ELISA Assay Kit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Elabscience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E-EL-M0044c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Mouse IL-4 ELISA Assay Kit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Elabscience</w:t>
            </w:r>
          </w:p>
        </w:tc>
        <w:tc>
          <w:tcPr>
            <w:tcW w:w="2437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E-EL-M0043c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PBS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Powder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Wuhan Kerry Biotechnology 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Protease inhibitors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Beijing Solexpo Technology Co.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4% paraformaldehyde fixative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Wuhan Xavier Biotechnology Co.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G1101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Physiological saline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Sichuan Keren Pharmaceutical Co.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75% ethanol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Wuhan Xingheda Trading Co.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O.C.T. compound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SAKURA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4583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Saturated oil red O staining solution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Beijing Solexpo Technology Co.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G1260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Hematoxylin dyeing solution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Beijing Solexpo Technology Co.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G1150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Isopropyl alcohol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Sinopharm Group Chemical Reagent Co.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Glycerine gelatin sealer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Wuhan Xavier Biotechnology Co.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  <w:t>G1402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 w:eastAsia="TimesNewRomanPSMT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High cholesterol model feed</w:t>
            </w:r>
          </w:p>
        </w:tc>
        <w:tc>
          <w:tcPr>
            <w:tcW w:w="2846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sz w:val="24"/>
              </w:rPr>
              <w:t>Nantong TROPHY Feed Technology Co.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Chin brick tea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aqueous extract [extraction rate of (10±5)%]</w:t>
            </w:r>
          </w:p>
        </w:tc>
        <w:tc>
          <w:tcPr>
            <w:tcW w:w="2846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Hubei Changshengchuan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Chin brick tea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 xml:space="preserve"> Research Institute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Imipenem/Cistatin Sodium (I8530-100mg)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Solarbio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Amoxicillin (A9320-5g)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9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Neomycin (N8090-10g)</w:t>
            </w:r>
          </w:p>
        </w:tc>
        <w:tc>
          <w:tcPr>
            <w:tcW w:w="284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Solarbio</w:t>
            </w:r>
          </w:p>
        </w:tc>
        <w:tc>
          <w:tcPr>
            <w:tcW w:w="2437" w:type="dxa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b/>
          <w:bCs/>
          <w:color w:val="000000"/>
          <w:sz w:val="24"/>
        </w:rPr>
      </w:pPr>
    </w:p>
    <w:p>
      <w:pPr>
        <w:spacing w:line="480" w:lineRule="auto"/>
        <w:ind w:firstLine="516" w:firstLineChars="200"/>
        <w:jc w:val="center"/>
        <w:rPr>
          <w:rFonts w:ascii="Times New Roman" w:hAnsi="Times New Roman"/>
          <w:color w:val="000000"/>
          <w:spacing w:val="9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46DF5513"/>
    <w:rsid w:val="46D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2023-05-06T03:04:00Z</dcterms:created>
  <dc:creator>李世刚</dc:creator>
  <cp:lastModifiedBy>李世刚</cp:lastModifiedBy>
  <dcterms:modified xsi:type="dcterms:W3CDTF">2023-05-06T03:32:53Z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0F44873263224F0FA31392FA470AC2F5_11</vt:lpwstr>
  </property>
</Properties>
</file>