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5F0E" w14:textId="710A28FF" w:rsidR="004B158C" w:rsidRPr="00A82512" w:rsidRDefault="00141D15" w:rsidP="00F22923">
      <w:pPr>
        <w:rPr>
          <w:rFonts w:ascii="Times New Roman" w:hAnsi="Times New Roman" w:cs="Times New Roman"/>
        </w:rPr>
      </w:pPr>
      <w:r w:rsidRPr="00A82512">
        <w:rPr>
          <w:rFonts w:ascii="Times New Roman" w:hAnsi="Times New Roman" w:cs="Times New Roman"/>
          <w:b/>
          <w:bCs/>
        </w:rPr>
        <w:t>Table 1</w:t>
      </w:r>
      <w:r w:rsidRPr="00A82512">
        <w:rPr>
          <w:rFonts w:ascii="Times New Roman" w:hAnsi="Times New Roman" w:cs="Times New Roman"/>
        </w:rPr>
        <w:t>: Baseline characteristics of total population, stratified by early failure of induction (EFI).</w:t>
      </w:r>
    </w:p>
    <w:tbl>
      <w:tblPr>
        <w:tblStyle w:val="41"/>
        <w:tblW w:w="913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1646"/>
        <w:gridCol w:w="1646"/>
        <w:gridCol w:w="1646"/>
        <w:gridCol w:w="1020"/>
      </w:tblGrid>
      <w:tr w:rsidR="004B158C" w:rsidRPr="004B158C" w14:paraId="291E531E" w14:textId="77777777" w:rsidTr="005E5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hideMark/>
          </w:tcPr>
          <w:p w14:paraId="1F8F6275" w14:textId="77777777" w:rsidR="004B158C" w:rsidRPr="004B158C" w:rsidRDefault="004B158C" w:rsidP="004B158C">
            <w:pPr>
              <w:widowControl/>
              <w:rPr>
                <w:rFonts w:ascii="Times New Roman" w:eastAsia="新細明體" w:hAnsi="Times New Roman" w:cs="Times New Roman"/>
                <w:kern w:val="0"/>
                <w14:ligatures w14:val="none"/>
              </w:rPr>
            </w:pPr>
          </w:p>
        </w:tc>
        <w:tc>
          <w:tcPr>
            <w:tcW w:w="1646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AC0D920" w14:textId="77777777" w:rsidR="004B158C" w:rsidRPr="004B158C" w:rsidRDefault="004B158C" w:rsidP="00141D1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non-EFI</w:t>
            </w:r>
          </w:p>
        </w:tc>
        <w:tc>
          <w:tcPr>
            <w:tcW w:w="1646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3568A6D" w14:textId="77777777" w:rsidR="004B158C" w:rsidRPr="004B158C" w:rsidRDefault="004B158C" w:rsidP="00141D1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EFI</w:t>
            </w:r>
          </w:p>
        </w:tc>
        <w:tc>
          <w:tcPr>
            <w:tcW w:w="1646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A093D5C" w14:textId="77777777" w:rsidR="004B158C" w:rsidRPr="004B158C" w:rsidRDefault="004B158C" w:rsidP="00141D1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Overall</w:t>
            </w:r>
          </w:p>
        </w:tc>
        <w:tc>
          <w:tcPr>
            <w:tcW w:w="1020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F83AA04" w14:textId="77777777" w:rsidR="004B158C" w:rsidRPr="004B158C" w:rsidRDefault="004B158C" w:rsidP="00141D1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14:ligatures w14:val="none"/>
              </w:rPr>
              <w:t>p</w:t>
            </w: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 value</w:t>
            </w:r>
          </w:p>
        </w:tc>
      </w:tr>
      <w:tr w:rsidR="004B158C" w:rsidRPr="004B158C" w14:paraId="51B32CF3" w14:textId="77777777" w:rsidTr="005E5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B675C86" w14:textId="77777777" w:rsidR="004B158C" w:rsidRPr="00C17534" w:rsidRDefault="004B158C" w:rsidP="004B158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17534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164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441E" w14:textId="77777777" w:rsidR="004B158C" w:rsidRPr="00C17534" w:rsidRDefault="004B158C" w:rsidP="00141D1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C17534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164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F8A8" w14:textId="77777777" w:rsidR="004B158C" w:rsidRPr="00C17534" w:rsidRDefault="004B158C" w:rsidP="00141D1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C17534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  <w:tc>
          <w:tcPr>
            <w:tcW w:w="164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22FF" w14:textId="370BD2E7" w:rsidR="004B158C" w:rsidRPr="00C17534" w:rsidRDefault="004B158C" w:rsidP="00141D1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b w:val="0"/>
                <w:bCs w:val="0"/>
                <w:color w:val="000000"/>
                <w:kern w:val="0"/>
                <w14:ligatures w14:val="none"/>
              </w:rPr>
            </w:pPr>
            <w:r w:rsidRPr="00C17534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</w:t>
            </w:r>
            <w:r w:rsidR="00C940D1"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38</w:t>
            </w:r>
            <w:r w:rsidR="00C940D1" w:rsidRPr="00C940D1">
              <w:rPr>
                <w:rFonts w:ascii="Times New Roman" w:eastAsia="新細明體" w:hAnsi="Times New Roman" w:cs="Times New Roman" w:hint="eastAsia"/>
                <w:color w:val="000000"/>
                <w:kern w:val="0"/>
                <w:vertAlign w:val="superscript"/>
                <w14:ligatures w14:val="none"/>
              </w:rPr>
              <w:t>a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3B91" w14:textId="77777777" w:rsidR="004B158C" w:rsidRPr="004B158C" w:rsidRDefault="004B158C" w:rsidP="00141D1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B158C" w:rsidRPr="004B158C" w14:paraId="0A14F525" w14:textId="77777777" w:rsidTr="005E5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tcBorders>
              <w:top w:val="single" w:sz="4" w:space="0" w:color="auto"/>
            </w:tcBorders>
            <w:noWrap/>
            <w:hideMark/>
          </w:tcPr>
          <w:p w14:paraId="61D054A5" w14:textId="04815C12" w:rsidR="004B158C" w:rsidRPr="004B158C" w:rsidRDefault="004B158C" w:rsidP="004B158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Age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04C2D23" w14:textId="01730C81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29 [24, 36]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56C6078" w14:textId="0D01C470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27 [21, 4</w:t>
            </w:r>
            <w:r w:rsidRPr="00A82512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</w:t>
            </w: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9BDC3BF" w14:textId="72E48EF5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28 [23, 37]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00B3C4C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0.322</w:t>
            </w:r>
          </w:p>
        </w:tc>
      </w:tr>
      <w:tr w:rsidR="004B158C" w:rsidRPr="004B158C" w14:paraId="0155FAB2" w14:textId="77777777" w:rsidTr="005E58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shd w:val="clear" w:color="auto" w:fill="auto"/>
            <w:noWrap/>
            <w:hideMark/>
          </w:tcPr>
          <w:p w14:paraId="610D557F" w14:textId="77777777" w:rsidR="004B158C" w:rsidRPr="004B158C" w:rsidRDefault="004B158C" w:rsidP="004B158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795C6CC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66 (52.0)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7F85BE6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65 (58.6)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DEA4D95" w14:textId="3227B2E3" w:rsidR="004B158C" w:rsidRPr="004B158C" w:rsidRDefault="00C940D1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131 (55.0)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0AF54D4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0.361</w:t>
            </w:r>
          </w:p>
        </w:tc>
      </w:tr>
      <w:tr w:rsidR="004B158C" w:rsidRPr="004B158C" w14:paraId="2E7EFBDE" w14:textId="77777777" w:rsidTr="005E5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noWrap/>
            <w:hideMark/>
          </w:tcPr>
          <w:p w14:paraId="5A7F428C" w14:textId="77777777" w:rsidR="004B158C" w:rsidRPr="004B158C" w:rsidRDefault="004B158C" w:rsidP="004B158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Ann Arbor staging</w:t>
            </w:r>
          </w:p>
        </w:tc>
        <w:tc>
          <w:tcPr>
            <w:tcW w:w="1646" w:type="dxa"/>
            <w:noWrap/>
            <w:vAlign w:val="center"/>
            <w:hideMark/>
          </w:tcPr>
          <w:p w14:paraId="5F28E46D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46" w:type="dxa"/>
            <w:noWrap/>
            <w:vAlign w:val="center"/>
            <w:hideMark/>
          </w:tcPr>
          <w:p w14:paraId="3ED020A9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6" w:type="dxa"/>
            <w:noWrap/>
            <w:vAlign w:val="center"/>
            <w:hideMark/>
          </w:tcPr>
          <w:p w14:paraId="5181BEEC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7986412B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0.662</w:t>
            </w:r>
          </w:p>
        </w:tc>
      </w:tr>
      <w:tr w:rsidR="004B158C" w:rsidRPr="004B158C" w14:paraId="37308996" w14:textId="77777777" w:rsidTr="005E58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shd w:val="clear" w:color="auto" w:fill="auto"/>
            <w:noWrap/>
            <w:hideMark/>
          </w:tcPr>
          <w:p w14:paraId="58914731" w14:textId="454D3D3F" w:rsidR="004B158C" w:rsidRPr="004B158C" w:rsidRDefault="004B158C" w:rsidP="004B158C">
            <w:pPr>
              <w:widowControl/>
              <w:ind w:firstLineChars="100" w:firstLine="245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Stage I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86510F2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5 (4.0)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847EE34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4 (3.6)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A8A1603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9 (3.8)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E7B31C0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B158C" w:rsidRPr="004B158C" w14:paraId="3699CEC4" w14:textId="77777777" w:rsidTr="005E5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noWrap/>
            <w:hideMark/>
          </w:tcPr>
          <w:p w14:paraId="5C1B1C7A" w14:textId="3F33779F" w:rsidR="004B158C" w:rsidRPr="004B158C" w:rsidRDefault="004B158C" w:rsidP="004B158C">
            <w:pPr>
              <w:widowControl/>
              <w:ind w:firstLineChars="100" w:firstLine="245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Stage II</w:t>
            </w:r>
          </w:p>
        </w:tc>
        <w:tc>
          <w:tcPr>
            <w:tcW w:w="1646" w:type="dxa"/>
            <w:noWrap/>
            <w:vAlign w:val="center"/>
            <w:hideMark/>
          </w:tcPr>
          <w:p w14:paraId="17205E1F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53 (42.1)</w:t>
            </w:r>
          </w:p>
        </w:tc>
        <w:tc>
          <w:tcPr>
            <w:tcW w:w="1646" w:type="dxa"/>
            <w:noWrap/>
            <w:vAlign w:val="center"/>
            <w:hideMark/>
          </w:tcPr>
          <w:p w14:paraId="4FC79105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39 (35.1)</w:t>
            </w:r>
          </w:p>
        </w:tc>
        <w:tc>
          <w:tcPr>
            <w:tcW w:w="1646" w:type="dxa"/>
            <w:noWrap/>
            <w:vAlign w:val="center"/>
            <w:hideMark/>
          </w:tcPr>
          <w:p w14:paraId="36134AC7" w14:textId="5091E155" w:rsidR="004B158C" w:rsidRPr="004B158C" w:rsidRDefault="00C940D1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92 (38.8)</w:t>
            </w:r>
          </w:p>
        </w:tc>
        <w:tc>
          <w:tcPr>
            <w:tcW w:w="1020" w:type="dxa"/>
            <w:noWrap/>
            <w:vAlign w:val="center"/>
            <w:hideMark/>
          </w:tcPr>
          <w:p w14:paraId="1D288598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B158C" w:rsidRPr="004B158C" w14:paraId="582552F6" w14:textId="77777777" w:rsidTr="005E58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shd w:val="clear" w:color="auto" w:fill="auto"/>
            <w:noWrap/>
            <w:hideMark/>
          </w:tcPr>
          <w:p w14:paraId="459E1809" w14:textId="3480F185" w:rsidR="004B158C" w:rsidRPr="004B158C" w:rsidRDefault="004B158C" w:rsidP="004B158C">
            <w:pPr>
              <w:widowControl/>
              <w:ind w:firstLineChars="100" w:firstLine="245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Stage III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D0CDB26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24 (19.0)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1401E64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21 (18.9)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3DAB726" w14:textId="30ABD378" w:rsidR="004B158C" w:rsidRPr="004B158C" w:rsidRDefault="00C940D1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45 (19.0)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8B0F7F6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B158C" w:rsidRPr="004B158C" w14:paraId="49023F03" w14:textId="77777777" w:rsidTr="005E5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noWrap/>
            <w:hideMark/>
          </w:tcPr>
          <w:p w14:paraId="2AEC82DB" w14:textId="51BE3E3A" w:rsidR="004B158C" w:rsidRPr="004B158C" w:rsidRDefault="004B158C" w:rsidP="004B158C">
            <w:pPr>
              <w:widowControl/>
              <w:ind w:firstLineChars="100" w:firstLine="245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Stage IV</w:t>
            </w:r>
          </w:p>
        </w:tc>
        <w:tc>
          <w:tcPr>
            <w:tcW w:w="1646" w:type="dxa"/>
            <w:noWrap/>
            <w:vAlign w:val="center"/>
            <w:hideMark/>
          </w:tcPr>
          <w:p w14:paraId="4E64DD14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44 (34.9)</w:t>
            </w:r>
          </w:p>
        </w:tc>
        <w:tc>
          <w:tcPr>
            <w:tcW w:w="1646" w:type="dxa"/>
            <w:noWrap/>
            <w:vAlign w:val="center"/>
            <w:hideMark/>
          </w:tcPr>
          <w:p w14:paraId="0E823A16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47 (42.3)</w:t>
            </w:r>
          </w:p>
        </w:tc>
        <w:tc>
          <w:tcPr>
            <w:tcW w:w="1646" w:type="dxa"/>
            <w:noWrap/>
            <w:vAlign w:val="center"/>
            <w:hideMark/>
          </w:tcPr>
          <w:p w14:paraId="34FB0E19" w14:textId="2F94F056" w:rsidR="004B158C" w:rsidRPr="004B158C" w:rsidRDefault="00C940D1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91 (38.4)</w:t>
            </w:r>
          </w:p>
        </w:tc>
        <w:tc>
          <w:tcPr>
            <w:tcW w:w="1020" w:type="dxa"/>
            <w:noWrap/>
            <w:vAlign w:val="center"/>
            <w:hideMark/>
          </w:tcPr>
          <w:p w14:paraId="1E58A016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B158C" w:rsidRPr="004B158C" w14:paraId="6FAA3C65" w14:textId="77777777" w:rsidTr="005E58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shd w:val="clear" w:color="auto" w:fill="auto"/>
            <w:noWrap/>
            <w:hideMark/>
          </w:tcPr>
          <w:p w14:paraId="763839D1" w14:textId="77777777" w:rsidR="004B158C" w:rsidRPr="004B158C" w:rsidRDefault="004B158C" w:rsidP="004B158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Histology subtype (n = 198)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60EFE0F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8357E75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74135C1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BB8127E" w14:textId="5E30CE9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82512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0.316</w:t>
            </w:r>
            <w:r w:rsidR="00C940D1">
              <w:rPr>
                <w:rFonts w:ascii="Times New Roman" w:eastAsia="新細明體" w:hAnsi="Times New Roman" w:cs="Times New Roman" w:hint="eastAsia"/>
                <w:color w:val="000000"/>
                <w:kern w:val="0"/>
                <w:vertAlign w:val="superscript"/>
                <w14:ligatures w14:val="none"/>
              </w:rPr>
              <w:t>a</w:t>
            </w:r>
          </w:p>
        </w:tc>
      </w:tr>
      <w:tr w:rsidR="004B158C" w:rsidRPr="004B158C" w14:paraId="19893927" w14:textId="77777777" w:rsidTr="005E5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noWrap/>
            <w:hideMark/>
          </w:tcPr>
          <w:p w14:paraId="70DBD99D" w14:textId="77777777" w:rsidR="004B158C" w:rsidRPr="004B158C" w:rsidRDefault="004B158C" w:rsidP="004B158C">
            <w:pPr>
              <w:widowControl/>
              <w:ind w:firstLineChars="100" w:firstLine="245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Nodular sclerosis</w:t>
            </w:r>
          </w:p>
        </w:tc>
        <w:tc>
          <w:tcPr>
            <w:tcW w:w="1646" w:type="dxa"/>
            <w:noWrap/>
            <w:vAlign w:val="center"/>
            <w:hideMark/>
          </w:tcPr>
          <w:p w14:paraId="3D383DAB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78 (72.2)</w:t>
            </w:r>
          </w:p>
        </w:tc>
        <w:tc>
          <w:tcPr>
            <w:tcW w:w="1646" w:type="dxa"/>
            <w:noWrap/>
            <w:vAlign w:val="center"/>
            <w:hideMark/>
          </w:tcPr>
          <w:p w14:paraId="31A296AC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 (79.3)</w:t>
            </w:r>
          </w:p>
        </w:tc>
        <w:tc>
          <w:tcPr>
            <w:tcW w:w="1646" w:type="dxa"/>
            <w:noWrap/>
            <w:vAlign w:val="center"/>
            <w:hideMark/>
          </w:tcPr>
          <w:p w14:paraId="457B1E40" w14:textId="4D001EC2" w:rsidR="004B158C" w:rsidRPr="004B158C" w:rsidRDefault="00C940D1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147 (75.4)</w:t>
            </w:r>
          </w:p>
        </w:tc>
        <w:tc>
          <w:tcPr>
            <w:tcW w:w="1020" w:type="dxa"/>
            <w:noWrap/>
            <w:vAlign w:val="center"/>
          </w:tcPr>
          <w:p w14:paraId="1F4447F5" w14:textId="7DB97D70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B158C" w:rsidRPr="004B158C" w14:paraId="018D044B" w14:textId="77777777" w:rsidTr="005E58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shd w:val="clear" w:color="auto" w:fill="auto"/>
            <w:noWrap/>
            <w:hideMark/>
          </w:tcPr>
          <w:p w14:paraId="40625B05" w14:textId="77777777" w:rsidR="004B158C" w:rsidRPr="004B158C" w:rsidRDefault="004B158C" w:rsidP="004B158C">
            <w:pPr>
              <w:widowControl/>
              <w:ind w:firstLineChars="100" w:firstLine="245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Mixed cellularity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84A9E18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23 (21.3)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19FB8F1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13 (14.9)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786AE32" w14:textId="5808755C" w:rsidR="004B158C" w:rsidRPr="004B158C" w:rsidRDefault="00C940D1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36 (18.5)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4D59A4B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B158C" w:rsidRPr="004B158C" w14:paraId="6857A3B0" w14:textId="77777777" w:rsidTr="005E5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noWrap/>
            <w:hideMark/>
          </w:tcPr>
          <w:p w14:paraId="19EA6AF2" w14:textId="77777777" w:rsidR="004B158C" w:rsidRPr="004B158C" w:rsidRDefault="004B158C" w:rsidP="004B158C">
            <w:pPr>
              <w:widowControl/>
              <w:ind w:firstLineChars="100" w:firstLine="245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Lymphocyte-rich</w:t>
            </w:r>
          </w:p>
        </w:tc>
        <w:tc>
          <w:tcPr>
            <w:tcW w:w="1646" w:type="dxa"/>
            <w:noWrap/>
            <w:vAlign w:val="center"/>
            <w:hideMark/>
          </w:tcPr>
          <w:p w14:paraId="51157425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7 (6.5)</w:t>
            </w:r>
          </w:p>
        </w:tc>
        <w:tc>
          <w:tcPr>
            <w:tcW w:w="1646" w:type="dxa"/>
            <w:noWrap/>
            <w:vAlign w:val="center"/>
            <w:hideMark/>
          </w:tcPr>
          <w:p w14:paraId="3F15978E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 (1.1)</w:t>
            </w:r>
          </w:p>
        </w:tc>
        <w:tc>
          <w:tcPr>
            <w:tcW w:w="1646" w:type="dxa"/>
            <w:noWrap/>
            <w:vAlign w:val="center"/>
            <w:hideMark/>
          </w:tcPr>
          <w:p w14:paraId="3A63F828" w14:textId="3A9A6F52" w:rsidR="004B158C" w:rsidRPr="004B158C" w:rsidRDefault="00C940D1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 (4.1)</w:t>
            </w:r>
          </w:p>
        </w:tc>
        <w:tc>
          <w:tcPr>
            <w:tcW w:w="1020" w:type="dxa"/>
            <w:noWrap/>
            <w:vAlign w:val="center"/>
            <w:hideMark/>
          </w:tcPr>
          <w:p w14:paraId="2833DAA5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B158C" w:rsidRPr="004B158C" w14:paraId="0C1E5281" w14:textId="77777777" w:rsidTr="005E58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shd w:val="clear" w:color="auto" w:fill="auto"/>
            <w:noWrap/>
            <w:hideMark/>
          </w:tcPr>
          <w:p w14:paraId="052F762D" w14:textId="77777777" w:rsidR="004B158C" w:rsidRPr="004B158C" w:rsidRDefault="004B158C" w:rsidP="004B158C">
            <w:pPr>
              <w:widowControl/>
              <w:ind w:firstLineChars="100" w:firstLine="245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Lymphocyte-depleted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8D54AA8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 (0.0)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99DCC3F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4 (4.6)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5B17616" w14:textId="474C865C" w:rsidR="004B158C" w:rsidRPr="004B158C" w:rsidRDefault="00C940D1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4 (2.1)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40C04BA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B00D6B" w:rsidRPr="004B158C" w14:paraId="70EA0B64" w14:textId="77777777" w:rsidTr="005E5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noWrap/>
          </w:tcPr>
          <w:p w14:paraId="0EB9AC70" w14:textId="21593CD8" w:rsidR="00B00D6B" w:rsidRPr="004B158C" w:rsidRDefault="00B00D6B" w:rsidP="00B00D6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Diagnosed after 2016</w:t>
            </w:r>
          </w:p>
        </w:tc>
        <w:tc>
          <w:tcPr>
            <w:tcW w:w="1646" w:type="dxa"/>
            <w:noWrap/>
            <w:vAlign w:val="center"/>
          </w:tcPr>
          <w:p w14:paraId="0418EC41" w14:textId="4CEC14C6" w:rsidR="00B00D6B" w:rsidRPr="004B158C" w:rsidRDefault="00B00D6B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B00D6B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27 (21.4)</w:t>
            </w:r>
          </w:p>
        </w:tc>
        <w:tc>
          <w:tcPr>
            <w:tcW w:w="1646" w:type="dxa"/>
            <w:noWrap/>
            <w:vAlign w:val="center"/>
          </w:tcPr>
          <w:p w14:paraId="4B2C297E" w14:textId="2CA44616" w:rsidR="00B00D6B" w:rsidRPr="004B158C" w:rsidRDefault="00B00D6B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B00D6B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38 (34.2)</w:t>
            </w:r>
          </w:p>
        </w:tc>
        <w:tc>
          <w:tcPr>
            <w:tcW w:w="1646" w:type="dxa"/>
            <w:noWrap/>
            <w:vAlign w:val="center"/>
          </w:tcPr>
          <w:p w14:paraId="7840A33B" w14:textId="37FE08F6" w:rsidR="00B00D6B" w:rsidRPr="004B158C" w:rsidRDefault="00C940D1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65 (27.4)</w:t>
            </w:r>
          </w:p>
        </w:tc>
        <w:tc>
          <w:tcPr>
            <w:tcW w:w="1020" w:type="dxa"/>
            <w:noWrap/>
            <w:vAlign w:val="center"/>
          </w:tcPr>
          <w:p w14:paraId="62C3142E" w14:textId="546ACDFC" w:rsidR="00B00D6B" w:rsidRPr="00B00D6B" w:rsidRDefault="00B00D6B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00D6B">
              <w:rPr>
                <w:rFonts w:ascii="Times New Roman" w:eastAsia="新細明體" w:hAnsi="Times New Roman" w:cs="Times New Roman" w:hint="eastAsia"/>
                <w:b/>
                <w:bCs/>
                <w:color w:val="FF0000"/>
                <w:kern w:val="0"/>
                <w14:ligatures w14:val="none"/>
              </w:rPr>
              <w:t>0.03</w:t>
            </w:r>
          </w:p>
        </w:tc>
      </w:tr>
      <w:tr w:rsidR="004B158C" w:rsidRPr="004B158C" w14:paraId="6F94D633" w14:textId="77777777" w:rsidTr="005E58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shd w:val="clear" w:color="auto" w:fill="auto"/>
            <w:noWrap/>
            <w:hideMark/>
          </w:tcPr>
          <w:p w14:paraId="024FC6F4" w14:textId="68644427" w:rsidR="004B158C" w:rsidRPr="004B158C" w:rsidRDefault="004B158C" w:rsidP="004B158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IPS score &gt;</w:t>
            </w:r>
            <w:r w:rsidR="005978EF" w:rsidRPr="00A82512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 (n = 149)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99038EF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23 (34.3)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CE50ECE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42 (51.9)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A75C77C" w14:textId="51328993" w:rsidR="004B158C" w:rsidRPr="004B158C" w:rsidRDefault="00C940D1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65 (43.9)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372A0EF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14:ligatures w14:val="none"/>
              </w:rPr>
              <w:t>0.046</w:t>
            </w:r>
          </w:p>
        </w:tc>
      </w:tr>
      <w:tr w:rsidR="004B158C" w:rsidRPr="004B158C" w14:paraId="42D28AA2" w14:textId="77777777" w:rsidTr="005E5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noWrap/>
            <w:hideMark/>
          </w:tcPr>
          <w:p w14:paraId="3BEA5984" w14:textId="5B62625C" w:rsidR="004B158C" w:rsidRPr="004B158C" w:rsidRDefault="004B158C" w:rsidP="004B158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CCI</w:t>
            </w:r>
            <w:r w:rsidR="005978EF" w:rsidRPr="00A82512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&gt;</w:t>
            </w:r>
            <w:r w:rsidR="005978EF" w:rsidRPr="00A82512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646" w:type="dxa"/>
            <w:noWrap/>
            <w:vAlign w:val="center"/>
            <w:hideMark/>
          </w:tcPr>
          <w:p w14:paraId="2878E184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22 (17.3)</w:t>
            </w:r>
          </w:p>
        </w:tc>
        <w:tc>
          <w:tcPr>
            <w:tcW w:w="1646" w:type="dxa"/>
            <w:noWrap/>
            <w:vAlign w:val="center"/>
            <w:hideMark/>
          </w:tcPr>
          <w:p w14:paraId="40704026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21 (18.9)</w:t>
            </w:r>
          </w:p>
        </w:tc>
        <w:tc>
          <w:tcPr>
            <w:tcW w:w="1646" w:type="dxa"/>
            <w:noWrap/>
            <w:vAlign w:val="center"/>
            <w:hideMark/>
          </w:tcPr>
          <w:p w14:paraId="2D59B850" w14:textId="6678D6B0" w:rsidR="004B158C" w:rsidRPr="004B158C" w:rsidRDefault="00C940D1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43 (18.1)</w:t>
            </w:r>
          </w:p>
        </w:tc>
        <w:tc>
          <w:tcPr>
            <w:tcW w:w="1020" w:type="dxa"/>
            <w:noWrap/>
            <w:vAlign w:val="center"/>
            <w:hideMark/>
          </w:tcPr>
          <w:p w14:paraId="6600ABFA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0.866</w:t>
            </w:r>
          </w:p>
        </w:tc>
      </w:tr>
      <w:tr w:rsidR="004B158C" w:rsidRPr="00A82512" w14:paraId="556B6FC5" w14:textId="77777777" w:rsidTr="005E58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shd w:val="clear" w:color="auto" w:fill="auto"/>
            <w:noWrap/>
            <w:vAlign w:val="center"/>
          </w:tcPr>
          <w:p w14:paraId="68DB4404" w14:textId="5BBCF509" w:rsidR="004B158C" w:rsidRPr="00A82512" w:rsidRDefault="004B158C" w:rsidP="004B158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First line therapy 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3ECD2DF6" w14:textId="77777777" w:rsidR="004B158C" w:rsidRPr="00A82512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60690E68" w14:textId="77777777" w:rsidR="004B158C" w:rsidRPr="00A82512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395A9608" w14:textId="77777777" w:rsidR="004B158C" w:rsidRPr="00A82512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33A7A1C" w14:textId="74F35499" w:rsidR="004B158C" w:rsidRPr="00A82512" w:rsidRDefault="00FA2B50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0.655</w:t>
            </w:r>
          </w:p>
        </w:tc>
      </w:tr>
      <w:tr w:rsidR="00141D15" w:rsidRPr="00A82512" w14:paraId="275089CA" w14:textId="77777777" w:rsidTr="005E5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noWrap/>
            <w:vAlign w:val="center"/>
          </w:tcPr>
          <w:p w14:paraId="79F15033" w14:textId="7B1137B4" w:rsidR="00141D15" w:rsidRPr="00A82512" w:rsidRDefault="00141D15" w:rsidP="00141D15">
            <w:pPr>
              <w:widowControl/>
              <w:ind w:firstLineChars="100" w:firstLine="224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ABVD</w:t>
            </w:r>
          </w:p>
        </w:tc>
        <w:tc>
          <w:tcPr>
            <w:tcW w:w="1646" w:type="dxa"/>
            <w:noWrap/>
            <w:vAlign w:val="center"/>
          </w:tcPr>
          <w:p w14:paraId="399EADE9" w14:textId="0C498A39" w:rsidR="00141D15" w:rsidRPr="00A82512" w:rsidRDefault="00FA2B50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A2B50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107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 xml:space="preserve"> (84.3)</w:t>
            </w:r>
          </w:p>
        </w:tc>
        <w:tc>
          <w:tcPr>
            <w:tcW w:w="1646" w:type="dxa"/>
            <w:noWrap/>
            <w:vAlign w:val="center"/>
          </w:tcPr>
          <w:p w14:paraId="1782A760" w14:textId="24828B57" w:rsidR="00141D15" w:rsidRPr="00A82512" w:rsidRDefault="00FA2B50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A2B50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103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 xml:space="preserve"> (92.8)</w:t>
            </w:r>
          </w:p>
        </w:tc>
        <w:tc>
          <w:tcPr>
            <w:tcW w:w="1646" w:type="dxa"/>
            <w:noWrap/>
            <w:vAlign w:val="center"/>
          </w:tcPr>
          <w:p w14:paraId="0A5BDEA7" w14:textId="647BFF79" w:rsidR="00141D15" w:rsidRPr="00A82512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A82512">
              <w:rPr>
                <w:rFonts w:ascii="Times New Roman" w:hAnsi="Times New Roman" w:cs="Times New Roman"/>
              </w:rPr>
              <w:t>210 (8</w:t>
            </w:r>
            <w:r w:rsidR="00C940D1">
              <w:rPr>
                <w:rFonts w:ascii="Times New Roman" w:hAnsi="Times New Roman" w:cs="Times New Roman" w:hint="eastAsia"/>
              </w:rPr>
              <w:t>8</w:t>
            </w:r>
            <w:r w:rsidRPr="00A82512">
              <w:rPr>
                <w:rFonts w:ascii="Times New Roman" w:hAnsi="Times New Roman" w:cs="Times New Roman"/>
              </w:rPr>
              <w:t>.</w:t>
            </w:r>
            <w:r w:rsidR="00C940D1">
              <w:rPr>
                <w:rFonts w:ascii="Times New Roman" w:hAnsi="Times New Roman" w:cs="Times New Roman" w:hint="eastAsia"/>
              </w:rPr>
              <w:t>2</w:t>
            </w:r>
            <w:r w:rsidRPr="00A825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0" w:type="dxa"/>
            <w:noWrap/>
            <w:vAlign w:val="center"/>
          </w:tcPr>
          <w:p w14:paraId="017958CE" w14:textId="77777777" w:rsidR="00141D15" w:rsidRPr="00A82512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141D15" w:rsidRPr="00A82512" w14:paraId="6FFD7120" w14:textId="77777777" w:rsidTr="005E58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shd w:val="clear" w:color="auto" w:fill="auto"/>
            <w:noWrap/>
            <w:vAlign w:val="center"/>
          </w:tcPr>
          <w:p w14:paraId="5BB546CA" w14:textId="5E92E1A2" w:rsidR="00141D15" w:rsidRPr="00A82512" w:rsidRDefault="00141D15" w:rsidP="00141D15">
            <w:pPr>
              <w:widowControl/>
              <w:ind w:firstLineChars="100" w:firstLine="224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COMP/ABVD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5469910B" w14:textId="6F3F2BF0" w:rsidR="00141D15" w:rsidRPr="00A82512" w:rsidRDefault="00FA2B50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7 (5.5)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70EE2EC8" w14:textId="3690E508" w:rsidR="00141D15" w:rsidRPr="00A82512" w:rsidRDefault="00FA2B50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4 (3.6)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7C859C0C" w14:textId="4546307D" w:rsidR="00141D15" w:rsidRPr="00A82512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A82512">
              <w:rPr>
                <w:rFonts w:ascii="Times New Roman" w:hAnsi="Times New Roman" w:cs="Times New Roman"/>
              </w:rPr>
              <w:t>11 (4.</w:t>
            </w:r>
            <w:r w:rsidR="00C940D1">
              <w:rPr>
                <w:rFonts w:ascii="Times New Roman" w:hAnsi="Times New Roman" w:cs="Times New Roman" w:hint="eastAsia"/>
              </w:rPr>
              <w:t>6</w:t>
            </w:r>
            <w:r w:rsidRPr="00A825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CC0800E" w14:textId="77777777" w:rsidR="00141D15" w:rsidRPr="00A82512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141D15" w:rsidRPr="00A82512" w14:paraId="74F6FDA8" w14:textId="77777777" w:rsidTr="005E5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noWrap/>
            <w:vAlign w:val="center"/>
          </w:tcPr>
          <w:p w14:paraId="58377338" w14:textId="43E6FDC3" w:rsidR="00141D15" w:rsidRPr="00A82512" w:rsidRDefault="00141D15" w:rsidP="00141D15">
            <w:pPr>
              <w:widowControl/>
              <w:ind w:firstLineChars="100" w:firstLine="224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Others</w:t>
            </w:r>
          </w:p>
        </w:tc>
        <w:tc>
          <w:tcPr>
            <w:tcW w:w="1646" w:type="dxa"/>
            <w:noWrap/>
            <w:vAlign w:val="center"/>
          </w:tcPr>
          <w:p w14:paraId="624C0D6C" w14:textId="773E3DE0" w:rsidR="00141D15" w:rsidRPr="00A82512" w:rsidRDefault="00FA2B50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13 (10.2)</w:t>
            </w:r>
          </w:p>
        </w:tc>
        <w:tc>
          <w:tcPr>
            <w:tcW w:w="1646" w:type="dxa"/>
            <w:noWrap/>
            <w:vAlign w:val="center"/>
          </w:tcPr>
          <w:p w14:paraId="1AABDF86" w14:textId="13951ED9" w:rsidR="00141D15" w:rsidRPr="00A82512" w:rsidRDefault="00FA2B50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4 (3.6)</w:t>
            </w:r>
          </w:p>
        </w:tc>
        <w:tc>
          <w:tcPr>
            <w:tcW w:w="1646" w:type="dxa"/>
            <w:noWrap/>
            <w:vAlign w:val="center"/>
          </w:tcPr>
          <w:p w14:paraId="4EAAD1C0" w14:textId="2D867F69" w:rsidR="00141D15" w:rsidRPr="00A82512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A82512">
              <w:rPr>
                <w:rFonts w:ascii="Times New Roman" w:hAnsi="Times New Roman" w:cs="Times New Roman"/>
              </w:rPr>
              <w:t>15 (6.</w:t>
            </w:r>
            <w:r w:rsidR="00C940D1">
              <w:rPr>
                <w:rFonts w:ascii="Times New Roman" w:hAnsi="Times New Roman" w:cs="Times New Roman" w:hint="eastAsia"/>
              </w:rPr>
              <w:t>3</w:t>
            </w:r>
            <w:r w:rsidRPr="00A825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0" w:type="dxa"/>
            <w:noWrap/>
            <w:vAlign w:val="center"/>
          </w:tcPr>
          <w:p w14:paraId="0A3D83D3" w14:textId="77777777" w:rsidR="00141D15" w:rsidRPr="00A82512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B158C" w:rsidRPr="00A82512" w14:paraId="7114775A" w14:textId="77777777" w:rsidTr="005E58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shd w:val="clear" w:color="auto" w:fill="auto"/>
            <w:noWrap/>
            <w:hideMark/>
          </w:tcPr>
          <w:p w14:paraId="221D4983" w14:textId="77777777" w:rsidR="004B158C" w:rsidRPr="004B158C" w:rsidRDefault="004B158C" w:rsidP="004B158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BV use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899E634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31 (24.4)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3213AE6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32 (28.8)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CDD5382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63 (26.5)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1D986C7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0.464</w:t>
            </w:r>
          </w:p>
        </w:tc>
      </w:tr>
      <w:tr w:rsidR="004B158C" w:rsidRPr="00A82512" w14:paraId="2D5231CE" w14:textId="77777777" w:rsidTr="005E5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noWrap/>
            <w:hideMark/>
          </w:tcPr>
          <w:p w14:paraId="3933A996" w14:textId="77777777" w:rsidR="004B158C" w:rsidRPr="004B158C" w:rsidRDefault="004B158C" w:rsidP="004B158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Previous BV before HSCT</w:t>
            </w:r>
          </w:p>
        </w:tc>
        <w:tc>
          <w:tcPr>
            <w:tcW w:w="1646" w:type="dxa"/>
            <w:noWrap/>
            <w:vAlign w:val="center"/>
            <w:hideMark/>
          </w:tcPr>
          <w:p w14:paraId="0DFDBCEE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17 (13.4)</w:t>
            </w:r>
          </w:p>
        </w:tc>
        <w:tc>
          <w:tcPr>
            <w:tcW w:w="1646" w:type="dxa"/>
            <w:noWrap/>
            <w:vAlign w:val="center"/>
            <w:hideMark/>
          </w:tcPr>
          <w:p w14:paraId="5A45BD58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18 (16.2)</w:t>
            </w:r>
          </w:p>
        </w:tc>
        <w:tc>
          <w:tcPr>
            <w:tcW w:w="1646" w:type="dxa"/>
            <w:noWrap/>
            <w:vAlign w:val="center"/>
            <w:hideMark/>
          </w:tcPr>
          <w:p w14:paraId="407DAC5D" w14:textId="6EE692F1" w:rsidR="004B158C" w:rsidRPr="004B158C" w:rsidRDefault="00C940D1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35 (14.7)</w:t>
            </w:r>
          </w:p>
        </w:tc>
        <w:tc>
          <w:tcPr>
            <w:tcW w:w="1020" w:type="dxa"/>
            <w:noWrap/>
            <w:vAlign w:val="center"/>
            <w:hideMark/>
          </w:tcPr>
          <w:p w14:paraId="304A4BFF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0.585</w:t>
            </w:r>
          </w:p>
        </w:tc>
      </w:tr>
      <w:tr w:rsidR="004B158C" w:rsidRPr="00A82512" w14:paraId="17B8ADFF" w14:textId="77777777" w:rsidTr="005E58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shd w:val="clear" w:color="auto" w:fill="auto"/>
            <w:noWrap/>
            <w:hideMark/>
          </w:tcPr>
          <w:p w14:paraId="454D8035" w14:textId="77777777" w:rsidR="004B158C" w:rsidRPr="004B158C" w:rsidRDefault="004B158C" w:rsidP="004B158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Post-transplantation BV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93C38F6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22 (17.3)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66208B0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21 (18.9)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9F4212E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43 (18.1)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5A9A200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0.866</w:t>
            </w:r>
          </w:p>
        </w:tc>
      </w:tr>
      <w:tr w:rsidR="00141D15" w:rsidRPr="00A82512" w14:paraId="00C87CE9" w14:textId="77777777" w:rsidTr="005E5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noWrap/>
          </w:tcPr>
          <w:p w14:paraId="3DA4945A" w14:textId="3DB0DB4F" w:rsidR="00141D15" w:rsidRPr="00A82512" w:rsidRDefault="00141D15" w:rsidP="00141D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A82512">
              <w:rPr>
                <w:rFonts w:ascii="Times New Roman" w:hAnsi="Times New Roman" w:cs="Times New Roman"/>
              </w:rPr>
              <w:t>ICI use</w:t>
            </w:r>
          </w:p>
        </w:tc>
        <w:tc>
          <w:tcPr>
            <w:tcW w:w="1646" w:type="dxa"/>
            <w:noWrap/>
            <w:vAlign w:val="center"/>
          </w:tcPr>
          <w:p w14:paraId="6DDC0D0B" w14:textId="78E2AC47" w:rsidR="00141D15" w:rsidRPr="00A82512" w:rsidRDefault="00A4010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5 (3.9)</w:t>
            </w:r>
          </w:p>
        </w:tc>
        <w:tc>
          <w:tcPr>
            <w:tcW w:w="1646" w:type="dxa"/>
            <w:noWrap/>
            <w:vAlign w:val="center"/>
          </w:tcPr>
          <w:p w14:paraId="2DED62B9" w14:textId="737D92D2" w:rsidR="00141D15" w:rsidRPr="00A82512" w:rsidRDefault="00A4010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7 (6.3)</w:t>
            </w:r>
          </w:p>
        </w:tc>
        <w:tc>
          <w:tcPr>
            <w:tcW w:w="1646" w:type="dxa"/>
            <w:noWrap/>
            <w:vAlign w:val="center"/>
          </w:tcPr>
          <w:p w14:paraId="06F11346" w14:textId="4C07E15A" w:rsidR="00141D15" w:rsidRPr="00A82512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A82512">
              <w:rPr>
                <w:rFonts w:ascii="Times New Roman" w:hAnsi="Times New Roman" w:cs="Times New Roman"/>
              </w:rPr>
              <w:t>12 (5.0)</w:t>
            </w:r>
          </w:p>
        </w:tc>
        <w:tc>
          <w:tcPr>
            <w:tcW w:w="1020" w:type="dxa"/>
            <w:noWrap/>
            <w:vAlign w:val="center"/>
          </w:tcPr>
          <w:p w14:paraId="697D2384" w14:textId="6A2EDECC" w:rsidR="00141D15" w:rsidRPr="00A82512" w:rsidRDefault="00A4010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0.555</w:t>
            </w:r>
          </w:p>
        </w:tc>
      </w:tr>
      <w:tr w:rsidR="00141D15" w:rsidRPr="00A82512" w14:paraId="5EE4318F" w14:textId="77777777" w:rsidTr="005E58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shd w:val="clear" w:color="auto" w:fill="auto"/>
            <w:noWrap/>
          </w:tcPr>
          <w:p w14:paraId="222FE87F" w14:textId="44DA2B9B" w:rsidR="00141D15" w:rsidRPr="00A82512" w:rsidRDefault="00141D15" w:rsidP="00141D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A82512">
              <w:rPr>
                <w:rFonts w:ascii="Times New Roman" w:hAnsi="Times New Roman" w:cs="Times New Roman"/>
              </w:rPr>
              <w:t>Previous ICI before HSCT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22F71BBE" w14:textId="069C78B2" w:rsidR="00141D15" w:rsidRPr="00A82512" w:rsidRDefault="00A4010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3 (2.4)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7CF00610" w14:textId="20373A82" w:rsidR="00141D15" w:rsidRPr="00A82512" w:rsidRDefault="00A4010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2 (1.8)</w:t>
            </w: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1F257CF0" w14:textId="19EAC5A5" w:rsidR="00141D15" w:rsidRPr="00A82512" w:rsidRDefault="00A4010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141D15" w:rsidRPr="00A8251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2.1</w:t>
            </w:r>
            <w:r w:rsidR="00141D15" w:rsidRPr="00A825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C36D707" w14:textId="1E85D563" w:rsidR="00141D15" w:rsidRPr="00A82512" w:rsidRDefault="00A4010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&gt;0.999</w:t>
            </w:r>
          </w:p>
        </w:tc>
      </w:tr>
      <w:tr w:rsidR="004B158C" w:rsidRPr="00A82512" w14:paraId="515BBC31" w14:textId="77777777" w:rsidTr="005E5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noWrap/>
            <w:hideMark/>
          </w:tcPr>
          <w:p w14:paraId="22F7DADE" w14:textId="77777777" w:rsidR="004B158C" w:rsidRPr="004B158C" w:rsidRDefault="004B158C" w:rsidP="004B158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Disease status at HSCT</w:t>
            </w:r>
          </w:p>
        </w:tc>
        <w:tc>
          <w:tcPr>
            <w:tcW w:w="1646" w:type="dxa"/>
            <w:noWrap/>
            <w:vAlign w:val="center"/>
            <w:hideMark/>
          </w:tcPr>
          <w:p w14:paraId="19943837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46" w:type="dxa"/>
            <w:noWrap/>
            <w:vAlign w:val="center"/>
            <w:hideMark/>
          </w:tcPr>
          <w:p w14:paraId="663D46FB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6" w:type="dxa"/>
            <w:noWrap/>
            <w:vAlign w:val="center"/>
            <w:hideMark/>
          </w:tcPr>
          <w:p w14:paraId="57D90371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noWrap/>
            <w:vAlign w:val="center"/>
            <w:hideMark/>
          </w:tcPr>
          <w:p w14:paraId="3B65F459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158C" w:rsidRPr="00A82512" w14:paraId="2B1D2F10" w14:textId="77777777" w:rsidTr="005E58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shd w:val="clear" w:color="auto" w:fill="auto"/>
            <w:noWrap/>
            <w:hideMark/>
          </w:tcPr>
          <w:p w14:paraId="474F970A" w14:textId="77777777" w:rsidR="004B158C" w:rsidRPr="004B158C" w:rsidRDefault="004B158C" w:rsidP="004B158C">
            <w:pPr>
              <w:widowControl/>
              <w:ind w:firstLineChars="100" w:firstLine="245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CR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3624268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52 (42.3)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B9A7F92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37 (33.9)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11D048A" w14:textId="22A301A7" w:rsidR="004B158C" w:rsidRPr="004B158C" w:rsidRDefault="00C940D1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89 (38.4)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1440FC2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0.29</w:t>
            </w:r>
          </w:p>
        </w:tc>
      </w:tr>
      <w:tr w:rsidR="004B158C" w:rsidRPr="00A82512" w14:paraId="2975E6CA" w14:textId="77777777" w:rsidTr="005E5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noWrap/>
            <w:hideMark/>
          </w:tcPr>
          <w:p w14:paraId="19A34B63" w14:textId="77777777" w:rsidR="004B158C" w:rsidRPr="004B158C" w:rsidRDefault="004B158C" w:rsidP="004B158C">
            <w:pPr>
              <w:widowControl/>
              <w:ind w:firstLineChars="100" w:firstLine="245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Chemosensitive</w:t>
            </w:r>
            <w:proofErr w:type="spellEnd"/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 PR</w:t>
            </w:r>
          </w:p>
        </w:tc>
        <w:tc>
          <w:tcPr>
            <w:tcW w:w="1646" w:type="dxa"/>
            <w:noWrap/>
            <w:vAlign w:val="center"/>
            <w:hideMark/>
          </w:tcPr>
          <w:p w14:paraId="288FDA63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57 (46.3)</w:t>
            </w:r>
          </w:p>
        </w:tc>
        <w:tc>
          <w:tcPr>
            <w:tcW w:w="1646" w:type="dxa"/>
            <w:noWrap/>
            <w:vAlign w:val="center"/>
            <w:hideMark/>
          </w:tcPr>
          <w:p w14:paraId="31B9D9C0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51 (46.8)</w:t>
            </w:r>
          </w:p>
        </w:tc>
        <w:tc>
          <w:tcPr>
            <w:tcW w:w="1646" w:type="dxa"/>
            <w:noWrap/>
            <w:vAlign w:val="center"/>
            <w:hideMark/>
          </w:tcPr>
          <w:p w14:paraId="41E36B69" w14:textId="4B8FA838" w:rsidR="004B158C" w:rsidRPr="004B158C" w:rsidRDefault="00C940D1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108 (46.6)</w:t>
            </w:r>
          </w:p>
        </w:tc>
        <w:tc>
          <w:tcPr>
            <w:tcW w:w="1020" w:type="dxa"/>
            <w:noWrap/>
            <w:vAlign w:val="center"/>
            <w:hideMark/>
          </w:tcPr>
          <w:p w14:paraId="4C9C765F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B158C" w:rsidRPr="00A82512" w14:paraId="33F72914" w14:textId="77777777" w:rsidTr="005E58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shd w:val="clear" w:color="auto" w:fill="auto"/>
            <w:noWrap/>
            <w:hideMark/>
          </w:tcPr>
          <w:p w14:paraId="2B23A9C7" w14:textId="77777777" w:rsidR="004B158C" w:rsidRPr="004B158C" w:rsidRDefault="004B158C" w:rsidP="004B158C">
            <w:pPr>
              <w:widowControl/>
              <w:ind w:firstLineChars="100" w:firstLine="245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Chemorefractory</w:t>
            </w:r>
            <w:proofErr w:type="spellEnd"/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 PR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234FB55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 (4.9)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59A9CA9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7 (6.4)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778BC62" w14:textId="5282AECD" w:rsidR="004B158C" w:rsidRPr="004B158C" w:rsidRDefault="00C940D1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13 (5.6)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DDFF643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B158C" w:rsidRPr="00A82512" w14:paraId="1E7C6AFF" w14:textId="77777777" w:rsidTr="005E5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noWrap/>
            <w:hideMark/>
          </w:tcPr>
          <w:p w14:paraId="2BEFBBB5" w14:textId="77777777" w:rsidR="004B158C" w:rsidRPr="004B158C" w:rsidRDefault="004B158C" w:rsidP="004B158C">
            <w:pPr>
              <w:widowControl/>
              <w:ind w:firstLineChars="100" w:firstLine="245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Refractory</w:t>
            </w:r>
          </w:p>
        </w:tc>
        <w:tc>
          <w:tcPr>
            <w:tcW w:w="1646" w:type="dxa"/>
            <w:noWrap/>
            <w:vAlign w:val="center"/>
            <w:hideMark/>
          </w:tcPr>
          <w:p w14:paraId="2700E79F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 (6.5)</w:t>
            </w:r>
          </w:p>
        </w:tc>
        <w:tc>
          <w:tcPr>
            <w:tcW w:w="1646" w:type="dxa"/>
            <w:noWrap/>
            <w:vAlign w:val="center"/>
            <w:hideMark/>
          </w:tcPr>
          <w:p w14:paraId="68C28292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14 (12.8)</w:t>
            </w:r>
          </w:p>
        </w:tc>
        <w:tc>
          <w:tcPr>
            <w:tcW w:w="1646" w:type="dxa"/>
            <w:noWrap/>
            <w:vAlign w:val="center"/>
            <w:hideMark/>
          </w:tcPr>
          <w:p w14:paraId="091803A5" w14:textId="208DD49A" w:rsidR="004B158C" w:rsidRPr="004B158C" w:rsidRDefault="00C940D1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22 (9.5)</w:t>
            </w:r>
          </w:p>
        </w:tc>
        <w:tc>
          <w:tcPr>
            <w:tcW w:w="1020" w:type="dxa"/>
            <w:noWrap/>
            <w:vAlign w:val="center"/>
            <w:hideMark/>
          </w:tcPr>
          <w:p w14:paraId="795073EE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B158C" w:rsidRPr="00A82512" w14:paraId="7C8263CD" w14:textId="77777777" w:rsidTr="005E58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shd w:val="clear" w:color="auto" w:fill="auto"/>
            <w:noWrap/>
            <w:hideMark/>
          </w:tcPr>
          <w:p w14:paraId="26218417" w14:textId="77777777" w:rsidR="004B158C" w:rsidRPr="004B158C" w:rsidRDefault="004B158C" w:rsidP="004B158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1st transplantation (ASCT)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ED53CD2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58B35A9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8964120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74D5353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158C" w:rsidRPr="00A82512" w14:paraId="5B54E48C" w14:textId="77777777" w:rsidTr="005E5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noWrap/>
            <w:hideMark/>
          </w:tcPr>
          <w:p w14:paraId="313BA8B5" w14:textId="77777777" w:rsidR="004B158C" w:rsidRPr="004B158C" w:rsidRDefault="004B158C" w:rsidP="004B158C">
            <w:pPr>
              <w:widowControl/>
              <w:ind w:firstLineChars="100" w:firstLine="245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Stem cell source - PB </w:t>
            </w:r>
          </w:p>
        </w:tc>
        <w:tc>
          <w:tcPr>
            <w:tcW w:w="1646" w:type="dxa"/>
            <w:noWrap/>
            <w:vAlign w:val="center"/>
            <w:hideMark/>
          </w:tcPr>
          <w:p w14:paraId="58C3FDB2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125 (98.4)</w:t>
            </w:r>
          </w:p>
        </w:tc>
        <w:tc>
          <w:tcPr>
            <w:tcW w:w="1646" w:type="dxa"/>
            <w:noWrap/>
            <w:vAlign w:val="center"/>
            <w:hideMark/>
          </w:tcPr>
          <w:p w14:paraId="71E87C9D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110 (99.1)</w:t>
            </w:r>
          </w:p>
        </w:tc>
        <w:tc>
          <w:tcPr>
            <w:tcW w:w="1646" w:type="dxa"/>
            <w:noWrap/>
            <w:vAlign w:val="center"/>
            <w:hideMark/>
          </w:tcPr>
          <w:p w14:paraId="7F0182E6" w14:textId="01AAD4F2" w:rsidR="004B158C" w:rsidRPr="004B158C" w:rsidRDefault="00C940D1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235 (98.7)</w:t>
            </w:r>
          </w:p>
        </w:tc>
        <w:tc>
          <w:tcPr>
            <w:tcW w:w="1020" w:type="dxa"/>
            <w:noWrap/>
            <w:vAlign w:val="center"/>
            <w:hideMark/>
          </w:tcPr>
          <w:p w14:paraId="7807B919" w14:textId="56A972AF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A82512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&gt;0.999</w:t>
            </w:r>
          </w:p>
        </w:tc>
      </w:tr>
      <w:tr w:rsidR="004B158C" w:rsidRPr="00A82512" w14:paraId="73311FAE" w14:textId="77777777" w:rsidTr="005E58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shd w:val="clear" w:color="auto" w:fill="auto"/>
            <w:noWrap/>
            <w:hideMark/>
          </w:tcPr>
          <w:p w14:paraId="62D0C16C" w14:textId="77777777" w:rsidR="004B158C" w:rsidRPr="004B158C" w:rsidRDefault="004B158C" w:rsidP="004B158C">
            <w:pPr>
              <w:widowControl/>
              <w:ind w:firstLineChars="100" w:firstLine="245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Conditioning regimen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D994205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B86A855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7F4C215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3C68D8D" w14:textId="0F5AEED8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0.484</w:t>
            </w:r>
          </w:p>
        </w:tc>
      </w:tr>
      <w:tr w:rsidR="004B158C" w:rsidRPr="00A82512" w14:paraId="7973A288" w14:textId="77777777" w:rsidTr="005E5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noWrap/>
            <w:hideMark/>
          </w:tcPr>
          <w:p w14:paraId="3E993EA9" w14:textId="77777777" w:rsidR="004B158C" w:rsidRPr="004B158C" w:rsidRDefault="004B158C" w:rsidP="004B158C">
            <w:pPr>
              <w:widowControl/>
              <w:ind w:firstLineChars="200" w:firstLine="489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BEAM-based</w:t>
            </w:r>
          </w:p>
        </w:tc>
        <w:tc>
          <w:tcPr>
            <w:tcW w:w="1646" w:type="dxa"/>
            <w:noWrap/>
            <w:vAlign w:val="center"/>
            <w:hideMark/>
          </w:tcPr>
          <w:p w14:paraId="1805BB54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86 (68.8)</w:t>
            </w:r>
          </w:p>
        </w:tc>
        <w:tc>
          <w:tcPr>
            <w:tcW w:w="1646" w:type="dxa"/>
            <w:noWrap/>
            <w:vAlign w:val="center"/>
            <w:hideMark/>
          </w:tcPr>
          <w:p w14:paraId="2EF04881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68 (61.3)</w:t>
            </w:r>
          </w:p>
        </w:tc>
        <w:tc>
          <w:tcPr>
            <w:tcW w:w="1646" w:type="dxa"/>
            <w:noWrap/>
            <w:vAlign w:val="center"/>
            <w:hideMark/>
          </w:tcPr>
          <w:p w14:paraId="531A3F2D" w14:textId="05C36A4C" w:rsidR="004B158C" w:rsidRPr="004B158C" w:rsidRDefault="00C940D1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154 (65.3)</w:t>
            </w:r>
          </w:p>
        </w:tc>
        <w:tc>
          <w:tcPr>
            <w:tcW w:w="1020" w:type="dxa"/>
            <w:noWrap/>
            <w:vAlign w:val="center"/>
            <w:hideMark/>
          </w:tcPr>
          <w:p w14:paraId="30F671AC" w14:textId="518C530D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B158C" w:rsidRPr="00A82512" w14:paraId="086489CE" w14:textId="77777777" w:rsidTr="005E58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tcBorders>
              <w:bottom w:val="nil"/>
            </w:tcBorders>
            <w:shd w:val="clear" w:color="auto" w:fill="auto"/>
            <w:noWrap/>
            <w:hideMark/>
          </w:tcPr>
          <w:p w14:paraId="642F2D72" w14:textId="77777777" w:rsidR="004B158C" w:rsidRPr="004B158C" w:rsidRDefault="004B158C" w:rsidP="004B158C">
            <w:pPr>
              <w:widowControl/>
              <w:ind w:firstLineChars="200" w:firstLine="489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GemBuMel</w:t>
            </w:r>
            <w:proofErr w:type="spellEnd"/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-based</w:t>
            </w:r>
          </w:p>
        </w:tc>
        <w:tc>
          <w:tcPr>
            <w:tcW w:w="164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0EF59F1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12 (9.6)</w:t>
            </w:r>
          </w:p>
        </w:tc>
        <w:tc>
          <w:tcPr>
            <w:tcW w:w="164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95A18C3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13 (11.7)</w:t>
            </w:r>
          </w:p>
        </w:tc>
        <w:tc>
          <w:tcPr>
            <w:tcW w:w="164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074E31C" w14:textId="513143FD" w:rsidR="004B158C" w:rsidRPr="004B158C" w:rsidRDefault="00C940D1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25 (10.6)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F396855" w14:textId="77777777" w:rsidR="004B158C" w:rsidRPr="004B158C" w:rsidRDefault="004B158C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141D15" w:rsidRPr="00A82512" w14:paraId="52DC50BB" w14:textId="77777777" w:rsidTr="005E5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tcBorders>
              <w:top w:val="nil"/>
              <w:bottom w:val="nil"/>
            </w:tcBorders>
            <w:noWrap/>
            <w:hideMark/>
          </w:tcPr>
          <w:p w14:paraId="1407604E" w14:textId="77777777" w:rsidR="004B158C" w:rsidRPr="004B158C" w:rsidRDefault="004B158C" w:rsidP="004B158C">
            <w:pPr>
              <w:widowControl/>
              <w:ind w:firstLineChars="200" w:firstLine="489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Others</w:t>
            </w:r>
          </w:p>
        </w:tc>
        <w:tc>
          <w:tcPr>
            <w:tcW w:w="164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065A36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27 (21.6)</w:t>
            </w:r>
          </w:p>
        </w:tc>
        <w:tc>
          <w:tcPr>
            <w:tcW w:w="164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0BFCD90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4B158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30 (27.0)</w:t>
            </w:r>
          </w:p>
        </w:tc>
        <w:tc>
          <w:tcPr>
            <w:tcW w:w="164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3E0892" w14:textId="761BF6C8" w:rsidR="004B158C" w:rsidRPr="004B158C" w:rsidRDefault="00C940D1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57 (24.2)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BDB9B2A" w14:textId="77777777" w:rsidR="004B158C" w:rsidRPr="004B158C" w:rsidRDefault="004B158C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141D15" w:rsidRPr="00A82512" w14:paraId="4D24C2AC" w14:textId="77777777" w:rsidTr="005E58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tcBorders>
              <w:top w:val="nil"/>
              <w:bottom w:val="nil"/>
            </w:tcBorders>
            <w:shd w:val="clear" w:color="auto" w:fill="auto"/>
            <w:noWrap/>
          </w:tcPr>
          <w:p w14:paraId="50C804D9" w14:textId="5ADEF6EA" w:rsidR="00141D15" w:rsidRPr="00A82512" w:rsidRDefault="00141D15" w:rsidP="00141D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A82512">
              <w:rPr>
                <w:rFonts w:ascii="Times New Roman" w:hAnsi="Times New Roman" w:cs="Times New Roman"/>
              </w:rPr>
              <w:t xml:space="preserve">2nd transplantation (n = </w:t>
            </w:r>
            <w:r w:rsidR="00781A45">
              <w:rPr>
                <w:rFonts w:ascii="Times New Roman" w:hAnsi="Times New Roman" w:cs="Times New Roman" w:hint="eastAsia"/>
              </w:rPr>
              <w:t>27</w:t>
            </w:r>
            <w:r w:rsidRPr="00A825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46EDCF0" w14:textId="2B0BF7C8" w:rsidR="00141D15" w:rsidRPr="00A82512" w:rsidRDefault="00781A4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781A45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15 (11.8)</w:t>
            </w:r>
          </w:p>
        </w:tc>
        <w:tc>
          <w:tcPr>
            <w:tcW w:w="164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C1EB070" w14:textId="63794E05" w:rsidR="00141D15" w:rsidRPr="00A82512" w:rsidRDefault="00781A4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781A45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12 (10.8)</w:t>
            </w:r>
          </w:p>
        </w:tc>
        <w:tc>
          <w:tcPr>
            <w:tcW w:w="164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0639CF1" w14:textId="1E178D7D" w:rsidR="00141D15" w:rsidRPr="00A82512" w:rsidRDefault="00C940D1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C940D1">
              <w:rPr>
                <w:rFonts w:ascii="Times New Roman" w:hAnsi="Times New Roman" w:cs="Times New Roman"/>
              </w:rPr>
              <w:t>27 (11.3)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888A4BE" w14:textId="5B5DFBD0" w:rsidR="00141D15" w:rsidRPr="00A82512" w:rsidRDefault="00781A4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781A45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0.841</w:t>
            </w:r>
          </w:p>
        </w:tc>
      </w:tr>
      <w:tr w:rsidR="00141D15" w:rsidRPr="00A82512" w14:paraId="7631DCB4" w14:textId="77777777" w:rsidTr="005E5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tcBorders>
              <w:top w:val="nil"/>
              <w:bottom w:val="nil"/>
            </w:tcBorders>
            <w:noWrap/>
          </w:tcPr>
          <w:p w14:paraId="45D9BBA7" w14:textId="037F5143" w:rsidR="00141D15" w:rsidRPr="00A82512" w:rsidRDefault="00141D15" w:rsidP="00141D15">
            <w:pPr>
              <w:widowControl/>
              <w:ind w:leftChars="100" w:left="24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A82512">
              <w:rPr>
                <w:rFonts w:ascii="Times New Roman" w:hAnsi="Times New Roman" w:cs="Times New Roman"/>
              </w:rPr>
              <w:t>2nd transplantation due to R/R</w:t>
            </w:r>
          </w:p>
        </w:tc>
        <w:tc>
          <w:tcPr>
            <w:tcW w:w="1646" w:type="dxa"/>
            <w:tcBorders>
              <w:top w:val="nil"/>
              <w:bottom w:val="nil"/>
            </w:tcBorders>
            <w:noWrap/>
            <w:vAlign w:val="center"/>
          </w:tcPr>
          <w:p w14:paraId="4D00C624" w14:textId="6231C023" w:rsidR="00141D15" w:rsidRPr="00A82512" w:rsidRDefault="00781A4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13 (86.7)</w:t>
            </w:r>
          </w:p>
        </w:tc>
        <w:tc>
          <w:tcPr>
            <w:tcW w:w="1646" w:type="dxa"/>
            <w:tcBorders>
              <w:top w:val="nil"/>
              <w:bottom w:val="nil"/>
            </w:tcBorders>
            <w:noWrap/>
            <w:vAlign w:val="center"/>
          </w:tcPr>
          <w:p w14:paraId="31BE3011" w14:textId="261A27C1" w:rsidR="00141D15" w:rsidRPr="00A82512" w:rsidRDefault="00781A4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10 (83.3)</w:t>
            </w:r>
          </w:p>
        </w:tc>
        <w:tc>
          <w:tcPr>
            <w:tcW w:w="1646" w:type="dxa"/>
            <w:tcBorders>
              <w:top w:val="nil"/>
              <w:bottom w:val="nil"/>
            </w:tcBorders>
            <w:noWrap/>
            <w:vAlign w:val="center"/>
          </w:tcPr>
          <w:p w14:paraId="6846BF9C" w14:textId="6B463FBB" w:rsidR="00141D15" w:rsidRPr="00A82512" w:rsidRDefault="00781A4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</w:rPr>
              <w:t>23 (85.2)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vAlign w:val="center"/>
          </w:tcPr>
          <w:p w14:paraId="7D31AFCA" w14:textId="0C649E48" w:rsidR="00141D15" w:rsidRPr="00A82512" w:rsidRDefault="00781A4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&gt;0.999</w:t>
            </w:r>
          </w:p>
        </w:tc>
      </w:tr>
      <w:tr w:rsidR="00141D15" w:rsidRPr="00A82512" w14:paraId="72EC1F01" w14:textId="77777777" w:rsidTr="005E58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tcBorders>
              <w:top w:val="nil"/>
              <w:bottom w:val="nil"/>
            </w:tcBorders>
            <w:shd w:val="clear" w:color="auto" w:fill="auto"/>
            <w:noWrap/>
          </w:tcPr>
          <w:p w14:paraId="0D02F6CA" w14:textId="465D2FB0" w:rsidR="00141D15" w:rsidRPr="00A82512" w:rsidRDefault="00141D15" w:rsidP="00141D15">
            <w:pPr>
              <w:widowControl/>
              <w:ind w:firstLineChars="100" w:firstLine="245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A82512">
              <w:rPr>
                <w:rFonts w:ascii="Times New Roman" w:hAnsi="Times New Roman" w:cs="Times New Roman"/>
              </w:rPr>
              <w:t>HSCT type</w:t>
            </w:r>
          </w:p>
        </w:tc>
        <w:tc>
          <w:tcPr>
            <w:tcW w:w="164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5C26D56" w14:textId="77777777" w:rsidR="00141D15" w:rsidRPr="00A82512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EE960CC" w14:textId="77777777" w:rsidR="00141D15" w:rsidRPr="00A82512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A3342CE" w14:textId="16A1F3BC" w:rsidR="00141D15" w:rsidRPr="00A82512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B96CABA" w14:textId="53B0DD3B" w:rsidR="00141D15" w:rsidRPr="00A82512" w:rsidRDefault="00781A4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&gt;0.999</w:t>
            </w:r>
          </w:p>
        </w:tc>
      </w:tr>
      <w:tr w:rsidR="00141D15" w:rsidRPr="00A82512" w14:paraId="6DDA8944" w14:textId="77777777" w:rsidTr="005E5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tcBorders>
              <w:top w:val="nil"/>
              <w:bottom w:val="nil"/>
            </w:tcBorders>
            <w:noWrap/>
          </w:tcPr>
          <w:p w14:paraId="69EBC284" w14:textId="7FFB3D30" w:rsidR="00141D15" w:rsidRPr="00A82512" w:rsidRDefault="00141D15" w:rsidP="00141D15">
            <w:pPr>
              <w:widowControl/>
              <w:ind w:firstLineChars="200" w:firstLine="489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A82512">
              <w:rPr>
                <w:rFonts w:ascii="Times New Roman" w:hAnsi="Times New Roman" w:cs="Times New Roman"/>
              </w:rPr>
              <w:lastRenderedPageBreak/>
              <w:t>ASCT</w:t>
            </w:r>
          </w:p>
        </w:tc>
        <w:tc>
          <w:tcPr>
            <w:tcW w:w="1646" w:type="dxa"/>
            <w:tcBorders>
              <w:top w:val="nil"/>
              <w:bottom w:val="nil"/>
            </w:tcBorders>
            <w:noWrap/>
            <w:vAlign w:val="center"/>
          </w:tcPr>
          <w:p w14:paraId="149236C5" w14:textId="024716D2" w:rsidR="00141D15" w:rsidRPr="00A82512" w:rsidRDefault="00781A4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5 (33.3)</w:t>
            </w:r>
          </w:p>
        </w:tc>
        <w:tc>
          <w:tcPr>
            <w:tcW w:w="1646" w:type="dxa"/>
            <w:tcBorders>
              <w:top w:val="nil"/>
              <w:bottom w:val="nil"/>
            </w:tcBorders>
            <w:noWrap/>
            <w:vAlign w:val="center"/>
          </w:tcPr>
          <w:p w14:paraId="484BDDDC" w14:textId="4DC5F5FC" w:rsidR="00141D15" w:rsidRPr="00A82512" w:rsidRDefault="00781A4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4 (33.3)</w:t>
            </w:r>
          </w:p>
        </w:tc>
        <w:tc>
          <w:tcPr>
            <w:tcW w:w="1646" w:type="dxa"/>
            <w:tcBorders>
              <w:top w:val="nil"/>
              <w:bottom w:val="nil"/>
            </w:tcBorders>
            <w:noWrap/>
            <w:vAlign w:val="center"/>
          </w:tcPr>
          <w:p w14:paraId="218B26E7" w14:textId="748E16CD" w:rsidR="00141D15" w:rsidRPr="00A82512" w:rsidRDefault="00781A4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</w:rPr>
              <w:t>9 (33.3)</w:t>
            </w:r>
          </w:p>
        </w:tc>
        <w:tc>
          <w:tcPr>
            <w:tcW w:w="1020" w:type="dxa"/>
            <w:tcBorders>
              <w:top w:val="nil"/>
              <w:bottom w:val="nil"/>
            </w:tcBorders>
            <w:noWrap/>
            <w:vAlign w:val="center"/>
          </w:tcPr>
          <w:p w14:paraId="7260278F" w14:textId="77777777" w:rsidR="00141D15" w:rsidRPr="00A82512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81A45" w:rsidRPr="00A82512" w14:paraId="53673B10" w14:textId="77777777" w:rsidTr="005E588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</w:tcPr>
          <w:p w14:paraId="187C9884" w14:textId="26BFCE4E" w:rsidR="00781A45" w:rsidRPr="00A82512" w:rsidRDefault="00781A45" w:rsidP="00781A45">
            <w:pPr>
              <w:widowControl/>
              <w:ind w:firstLineChars="200" w:firstLine="489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82512">
              <w:rPr>
                <w:rFonts w:ascii="Times New Roman" w:hAnsi="Times New Roman" w:cs="Times New Roman"/>
              </w:rPr>
              <w:t>Allo</w:t>
            </w:r>
            <w:proofErr w:type="spellEnd"/>
            <w:r w:rsidRPr="00A82512">
              <w:rPr>
                <w:rFonts w:ascii="Times New Roman" w:hAnsi="Times New Roman" w:cs="Times New Roman"/>
              </w:rPr>
              <w:t>-SCT</w:t>
            </w:r>
          </w:p>
        </w:tc>
        <w:tc>
          <w:tcPr>
            <w:tcW w:w="1646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EF3BF57" w14:textId="2FE61D29" w:rsidR="00781A45" w:rsidRPr="00A82512" w:rsidRDefault="00781A45" w:rsidP="00781A4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10 (66.7)</w:t>
            </w:r>
          </w:p>
        </w:tc>
        <w:tc>
          <w:tcPr>
            <w:tcW w:w="1646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8006011" w14:textId="18804AF6" w:rsidR="00781A45" w:rsidRPr="00A82512" w:rsidRDefault="00781A45" w:rsidP="00781A4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8 (66.6)</w:t>
            </w:r>
          </w:p>
        </w:tc>
        <w:tc>
          <w:tcPr>
            <w:tcW w:w="1646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17268EE" w14:textId="1C547A3D" w:rsidR="00781A45" w:rsidRPr="00A82512" w:rsidRDefault="00781A45" w:rsidP="00781A4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 w:hint="eastAsia"/>
              </w:rPr>
              <w:t>18 (66.6)</w:t>
            </w:r>
          </w:p>
        </w:tc>
        <w:tc>
          <w:tcPr>
            <w:tcW w:w="102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D305CDC" w14:textId="77777777" w:rsidR="00781A45" w:rsidRPr="00A82512" w:rsidRDefault="00781A45" w:rsidP="00781A4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FC04087" w14:textId="1BD2B7B6" w:rsidR="004B158C" w:rsidRPr="00A82512" w:rsidRDefault="004B158C" w:rsidP="00C940D1">
      <w:pPr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A82512">
        <w:rPr>
          <w:rFonts w:ascii="Times New Roman" w:hAnsi="Times New Roman" w:cs="Times New Roman"/>
          <w:vertAlign w:val="superscript"/>
        </w:rPr>
        <w:t>a</w:t>
      </w:r>
      <w:r w:rsidRPr="00F22923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>Comparison</w:t>
      </w:r>
      <w:proofErr w:type="spellEnd"/>
      <w:r w:rsidRPr="00F22923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 xml:space="preserve"> between nodular sclerosis (NS) and non-NS groups </w:t>
      </w:r>
    </w:p>
    <w:p w14:paraId="1720CC62" w14:textId="5B3C301F" w:rsidR="004B158C" w:rsidRPr="00A82512" w:rsidRDefault="004B158C" w:rsidP="00F22923">
      <w:pPr>
        <w:rPr>
          <w:rFonts w:ascii="Times New Roman" w:hAnsi="Times New Roman" w:cs="Times New Roman"/>
        </w:rPr>
      </w:pPr>
      <w:r w:rsidRPr="00A82512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 xml:space="preserve">Abbreviations: ABVD: doxorubicin, bleomycin, vinblastine, and dacarbazine; </w:t>
      </w:r>
      <w:proofErr w:type="spellStart"/>
      <w:r w:rsidR="00141D15" w:rsidRPr="00A82512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>Allo</w:t>
      </w:r>
      <w:proofErr w:type="spellEnd"/>
      <w:r w:rsidR="00141D15" w:rsidRPr="00A82512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 xml:space="preserve">-SCT: allogeneic stem cell transplantation; ASCT: autologous stem cell transplantation; </w:t>
      </w:r>
      <w:r w:rsidRPr="00A82512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 xml:space="preserve">BEAM: </w:t>
      </w:r>
      <w:proofErr w:type="spellStart"/>
      <w:r w:rsidRPr="00A82512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>carmustine</w:t>
      </w:r>
      <w:proofErr w:type="spellEnd"/>
      <w:r w:rsidRPr="00A82512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 xml:space="preserve">, etoposide, cytarabine and melphalan; BV: brentuximab </w:t>
      </w:r>
      <w:proofErr w:type="spellStart"/>
      <w:r w:rsidRPr="00A82512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>vedotin</w:t>
      </w:r>
      <w:proofErr w:type="spellEnd"/>
      <w:r w:rsidRPr="00A82512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 xml:space="preserve">; CCI: Charlson comorbidity index; COMP: </w:t>
      </w:r>
      <w:r w:rsidR="005978EF" w:rsidRPr="00A82512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>cyclophosphamide, vincristine, methotrexate and predn</w:t>
      </w:r>
      <w:r w:rsidR="00CF132F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>i</w:t>
      </w:r>
      <w:r w:rsidR="005978EF" w:rsidRPr="00A82512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>s</w:t>
      </w:r>
      <w:r w:rsidR="00CF132F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>o</w:t>
      </w:r>
      <w:r w:rsidR="005978EF" w:rsidRPr="00A82512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>lone</w:t>
      </w:r>
      <w:r w:rsidRPr="00A82512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 xml:space="preserve">; </w:t>
      </w:r>
      <w:r w:rsidRPr="004B158C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CR</w:t>
      </w:r>
      <w:r w:rsidRPr="00A82512">
        <w:rPr>
          <w:rFonts w:ascii="Times New Roman" w:eastAsia="新細明體" w:hAnsi="Times New Roman" w:cs="Times New Roman"/>
          <w:color w:val="000000"/>
          <w:kern w:val="0"/>
          <w14:ligatures w14:val="none"/>
        </w:rPr>
        <w:t xml:space="preserve">: complete response; </w:t>
      </w:r>
      <w:proofErr w:type="spellStart"/>
      <w:r w:rsidRPr="004B158C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GemBuMel</w:t>
      </w:r>
      <w:proofErr w:type="spellEnd"/>
      <w:r w:rsidRPr="00A82512">
        <w:rPr>
          <w:rFonts w:ascii="Times New Roman" w:eastAsia="新細明體" w:hAnsi="Times New Roman" w:cs="Times New Roman"/>
          <w:color w:val="000000"/>
          <w:kern w:val="0"/>
          <w14:ligatures w14:val="none"/>
        </w:rPr>
        <w:t xml:space="preserve">: gemcitabine, busulfan and melphalan; </w:t>
      </w:r>
      <w:r w:rsidR="00141D15" w:rsidRPr="00A82512">
        <w:rPr>
          <w:rFonts w:ascii="Times New Roman" w:eastAsia="新細明體" w:hAnsi="Times New Roman" w:cs="Times New Roman"/>
          <w:color w:val="000000"/>
          <w:kern w:val="0"/>
          <w14:ligatures w14:val="none"/>
        </w:rPr>
        <w:t xml:space="preserve">ICI, Immune checkpoint inhibitor; </w:t>
      </w:r>
      <w:r w:rsidRPr="00A82512">
        <w:rPr>
          <w:rFonts w:ascii="Times New Roman" w:eastAsia="新細明體" w:hAnsi="Times New Roman" w:cs="Times New Roman"/>
          <w:color w:val="000000"/>
          <w:kern w:val="0"/>
          <w14:ligatures w14:val="none"/>
        </w:rPr>
        <w:t xml:space="preserve">IPS: International prognostic score; PB: peripheral blood; PR: partial </w:t>
      </w:r>
      <w:r w:rsidR="00E06A7A" w:rsidRPr="00A82512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response</w:t>
      </w:r>
      <w:r w:rsidR="00141D15" w:rsidRPr="00A82512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; R/R: relapsed or refractory</w:t>
      </w:r>
      <w:r w:rsidR="00E06A7A" w:rsidRPr="00A82512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.</w:t>
      </w:r>
      <w:r w:rsidRPr="00A82512">
        <w:rPr>
          <w:rFonts w:ascii="Times New Roman" w:eastAsia="新細明體" w:hAnsi="Times New Roman" w:cs="Times New Roman"/>
          <w:color w:val="000000"/>
          <w:kern w:val="0"/>
          <w14:ligatures w14:val="none"/>
        </w:rPr>
        <w:t xml:space="preserve"> </w:t>
      </w:r>
    </w:p>
    <w:p w14:paraId="4E3A96EA" w14:textId="77777777" w:rsidR="00F22923" w:rsidRPr="00A82512" w:rsidRDefault="00F22923">
      <w:pPr>
        <w:widowControl/>
        <w:rPr>
          <w:rFonts w:ascii="Times New Roman" w:hAnsi="Times New Roman" w:cs="Times New Roman"/>
        </w:rPr>
      </w:pPr>
      <w:r w:rsidRPr="00A82512">
        <w:rPr>
          <w:rFonts w:ascii="Times New Roman" w:hAnsi="Times New Roman" w:cs="Times New Roman"/>
        </w:rPr>
        <w:br w:type="page"/>
      </w:r>
    </w:p>
    <w:p w14:paraId="10C59909" w14:textId="150A26C3" w:rsidR="00141D15" w:rsidRPr="00A82512" w:rsidRDefault="00141D15">
      <w:pPr>
        <w:widowControl/>
        <w:rPr>
          <w:rFonts w:ascii="Times New Roman" w:hAnsi="Times New Roman" w:cs="Times New Roman"/>
        </w:rPr>
      </w:pPr>
      <w:r w:rsidRPr="00A82512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9042B1">
        <w:rPr>
          <w:rFonts w:ascii="Times New Roman" w:hAnsi="Times New Roman" w:cs="Times New Roman" w:hint="eastAsia"/>
          <w:b/>
          <w:bCs/>
        </w:rPr>
        <w:t>2</w:t>
      </w:r>
      <w:r w:rsidRPr="00A82512">
        <w:rPr>
          <w:rFonts w:ascii="Times New Roman" w:hAnsi="Times New Roman" w:cs="Times New Roman"/>
          <w:b/>
          <w:bCs/>
        </w:rPr>
        <w:t>:</w:t>
      </w:r>
      <w:r w:rsidRPr="00A82512">
        <w:rPr>
          <w:rFonts w:ascii="Times New Roman" w:hAnsi="Times New Roman" w:cs="Times New Roman"/>
        </w:rPr>
        <w:t xml:space="preserve"> Univariable and Multivariable Cox Regression Analysis for Risk Factors</w:t>
      </w:r>
    </w:p>
    <w:tbl>
      <w:tblPr>
        <w:tblStyle w:val="41"/>
        <w:tblW w:w="5019" w:type="pct"/>
        <w:tblLook w:val="04A0" w:firstRow="1" w:lastRow="0" w:firstColumn="1" w:lastColumn="0" w:noHBand="0" w:noVBand="1"/>
      </w:tblPr>
      <w:tblGrid>
        <w:gridCol w:w="3332"/>
        <w:gridCol w:w="2130"/>
        <w:gridCol w:w="1423"/>
        <w:gridCol w:w="2108"/>
        <w:gridCol w:w="1490"/>
        <w:gridCol w:w="23"/>
      </w:tblGrid>
      <w:tr w:rsidR="00141D15" w:rsidRPr="00122B71" w14:paraId="56968ECC" w14:textId="77777777" w:rsidTr="003355D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" w:type="pct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8E3FCB4" w14:textId="77777777" w:rsidR="00141D15" w:rsidRPr="00F22923" w:rsidRDefault="00141D15" w:rsidP="003355DA">
            <w:pPr>
              <w:widowControl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Factor</w:t>
            </w:r>
          </w:p>
        </w:tc>
        <w:tc>
          <w:tcPr>
            <w:tcW w:w="1691" w:type="pct"/>
            <w:gridSpan w:val="2"/>
            <w:tcBorders>
              <w:top w:val="single" w:sz="12" w:space="0" w:color="auto"/>
            </w:tcBorders>
            <w:shd w:val="clear" w:color="auto" w:fill="FFFFFF" w:themeFill="background1"/>
            <w:hideMark/>
          </w:tcPr>
          <w:p w14:paraId="7D6233B1" w14:textId="77777777" w:rsidR="00141D15" w:rsidRPr="00F22923" w:rsidRDefault="00141D15" w:rsidP="00141D1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Univariable</w:t>
            </w:r>
          </w:p>
        </w:tc>
        <w:tc>
          <w:tcPr>
            <w:tcW w:w="1712" w:type="pct"/>
            <w:gridSpan w:val="2"/>
            <w:tcBorders>
              <w:top w:val="single" w:sz="12" w:space="0" w:color="auto"/>
            </w:tcBorders>
            <w:shd w:val="clear" w:color="auto" w:fill="FFFFFF" w:themeFill="background1"/>
            <w:hideMark/>
          </w:tcPr>
          <w:p w14:paraId="3B66173F" w14:textId="77777777" w:rsidR="00141D15" w:rsidRPr="00F22923" w:rsidRDefault="00141D15" w:rsidP="00141D1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Multivariable</w:t>
            </w:r>
          </w:p>
        </w:tc>
      </w:tr>
      <w:tr w:rsidR="00193DF1" w:rsidRPr="00A82512" w14:paraId="3D772071" w14:textId="77777777" w:rsidTr="00193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68F109D0" w14:textId="77777777" w:rsidR="00141D15" w:rsidRPr="00F22923" w:rsidRDefault="00141D15" w:rsidP="00141D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2126B60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HR (95% CI)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17ADEA30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  <w:r w:rsidRPr="00F229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value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5FE02A5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HR (95% CI)</w:t>
            </w:r>
          </w:p>
        </w:tc>
        <w:tc>
          <w:tcPr>
            <w:tcW w:w="72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7CB817D4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  <w:r w:rsidRPr="00F229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value</w:t>
            </w:r>
          </w:p>
        </w:tc>
      </w:tr>
      <w:tr w:rsidR="00141D15" w:rsidRPr="00A82512" w14:paraId="440BDDE2" w14:textId="77777777" w:rsidTr="00193DF1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14:paraId="1E2475C8" w14:textId="77777777" w:rsidR="00141D15" w:rsidRPr="00F22923" w:rsidRDefault="00141D15" w:rsidP="00141D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Age</w:t>
            </w:r>
          </w:p>
        </w:tc>
        <w:tc>
          <w:tcPr>
            <w:tcW w:w="1014" w:type="pct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14:paraId="77C72E41" w14:textId="77777777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1.04 (1.01–1.06)</w:t>
            </w: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14:paraId="2F466116" w14:textId="4DC5C334" w:rsidR="00141D15" w:rsidRPr="00C17534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17534"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0.003</w:t>
            </w:r>
          </w:p>
        </w:tc>
        <w:tc>
          <w:tcPr>
            <w:tcW w:w="1003" w:type="pct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14:paraId="3A074B01" w14:textId="46107C2B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hideMark/>
          </w:tcPr>
          <w:p w14:paraId="44D5402D" w14:textId="01785E82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93DF1" w:rsidRPr="00A82512" w14:paraId="0BBB30AD" w14:textId="77777777" w:rsidTr="00193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shd w:val="clear" w:color="auto" w:fill="FFFFFF" w:themeFill="background1"/>
            <w:hideMark/>
          </w:tcPr>
          <w:p w14:paraId="164BF149" w14:textId="77777777" w:rsidR="00141D15" w:rsidRPr="00F22923" w:rsidRDefault="00141D15" w:rsidP="00141D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CCI &gt;2</w:t>
            </w:r>
          </w:p>
        </w:tc>
        <w:tc>
          <w:tcPr>
            <w:tcW w:w="1014" w:type="pct"/>
            <w:shd w:val="clear" w:color="auto" w:fill="FFFFFF" w:themeFill="background1"/>
            <w:hideMark/>
          </w:tcPr>
          <w:p w14:paraId="7A742A40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3.40 (1.66–6.95)</w:t>
            </w:r>
          </w:p>
        </w:tc>
        <w:tc>
          <w:tcPr>
            <w:tcW w:w="677" w:type="pct"/>
            <w:shd w:val="clear" w:color="auto" w:fill="FFFFFF" w:themeFill="background1"/>
            <w:hideMark/>
          </w:tcPr>
          <w:p w14:paraId="5585C3F2" w14:textId="36DE901C" w:rsidR="00141D15" w:rsidRPr="00C17534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17534"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1003" w:type="pct"/>
            <w:shd w:val="clear" w:color="auto" w:fill="FFFFFF" w:themeFill="background1"/>
            <w:hideMark/>
          </w:tcPr>
          <w:p w14:paraId="07BB0DEF" w14:textId="01CE4F63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3.40 (1.63–7.09)</w:t>
            </w:r>
          </w:p>
        </w:tc>
        <w:tc>
          <w:tcPr>
            <w:tcW w:w="720" w:type="pct"/>
            <w:gridSpan w:val="2"/>
            <w:shd w:val="clear" w:color="auto" w:fill="FFFFFF" w:themeFill="background1"/>
            <w:hideMark/>
          </w:tcPr>
          <w:p w14:paraId="2E123655" w14:textId="134B636F" w:rsidR="00141D15" w:rsidRPr="00C17534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17534"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0.001</w:t>
            </w:r>
          </w:p>
        </w:tc>
      </w:tr>
      <w:tr w:rsidR="00141D15" w:rsidRPr="00A82512" w14:paraId="55B4F9A7" w14:textId="77777777" w:rsidTr="00193DF1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shd w:val="clear" w:color="auto" w:fill="F2F2F2" w:themeFill="background1" w:themeFillShade="F2"/>
            <w:hideMark/>
          </w:tcPr>
          <w:p w14:paraId="27470F80" w14:textId="2536D67B" w:rsidR="00141D15" w:rsidRPr="00F22923" w:rsidRDefault="00141D15" w:rsidP="00141D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A82512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1014" w:type="pct"/>
            <w:shd w:val="clear" w:color="auto" w:fill="F2F2F2" w:themeFill="background1" w:themeFillShade="F2"/>
            <w:hideMark/>
          </w:tcPr>
          <w:p w14:paraId="6C2A733F" w14:textId="77777777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1.29 (0.64–2.60)</w:t>
            </w:r>
          </w:p>
        </w:tc>
        <w:tc>
          <w:tcPr>
            <w:tcW w:w="677" w:type="pct"/>
            <w:shd w:val="clear" w:color="auto" w:fill="F2F2F2" w:themeFill="background1" w:themeFillShade="F2"/>
            <w:hideMark/>
          </w:tcPr>
          <w:p w14:paraId="3394183F" w14:textId="77777777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0.47</w:t>
            </w:r>
          </w:p>
        </w:tc>
        <w:tc>
          <w:tcPr>
            <w:tcW w:w="1003" w:type="pct"/>
            <w:shd w:val="clear" w:color="auto" w:fill="F2F2F2" w:themeFill="background1" w:themeFillShade="F2"/>
            <w:hideMark/>
          </w:tcPr>
          <w:p w14:paraId="5372F324" w14:textId="62C8383E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pct"/>
            <w:gridSpan w:val="2"/>
            <w:shd w:val="clear" w:color="auto" w:fill="F2F2F2" w:themeFill="background1" w:themeFillShade="F2"/>
            <w:hideMark/>
          </w:tcPr>
          <w:p w14:paraId="7BE68623" w14:textId="36229F77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93DF1" w:rsidRPr="00A82512" w14:paraId="6941F85B" w14:textId="77777777" w:rsidTr="00193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shd w:val="clear" w:color="auto" w:fill="FFFFFF" w:themeFill="background1"/>
            <w:hideMark/>
          </w:tcPr>
          <w:p w14:paraId="1ADA6F23" w14:textId="77777777" w:rsidR="00141D15" w:rsidRPr="00F22923" w:rsidRDefault="00141D15" w:rsidP="00141D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 symptoms </w:t>
            </w:r>
          </w:p>
        </w:tc>
        <w:tc>
          <w:tcPr>
            <w:tcW w:w="1014" w:type="pct"/>
            <w:shd w:val="clear" w:color="auto" w:fill="FFFFFF" w:themeFill="background1"/>
            <w:hideMark/>
          </w:tcPr>
          <w:p w14:paraId="48E641AB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1.27 (0.63–2.58)</w:t>
            </w:r>
          </w:p>
        </w:tc>
        <w:tc>
          <w:tcPr>
            <w:tcW w:w="677" w:type="pct"/>
            <w:shd w:val="clear" w:color="auto" w:fill="FFFFFF" w:themeFill="background1"/>
            <w:hideMark/>
          </w:tcPr>
          <w:p w14:paraId="4472208D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1003" w:type="pct"/>
            <w:shd w:val="clear" w:color="auto" w:fill="FFFFFF" w:themeFill="background1"/>
            <w:hideMark/>
          </w:tcPr>
          <w:p w14:paraId="69579C7C" w14:textId="694C69E6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pct"/>
            <w:gridSpan w:val="2"/>
            <w:shd w:val="clear" w:color="auto" w:fill="FFFFFF" w:themeFill="background1"/>
            <w:hideMark/>
          </w:tcPr>
          <w:p w14:paraId="611B2407" w14:textId="33879C4F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41D15" w:rsidRPr="00A82512" w14:paraId="406DD7A5" w14:textId="77777777" w:rsidTr="00193DF1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shd w:val="clear" w:color="auto" w:fill="F2F2F2" w:themeFill="background1" w:themeFillShade="F2"/>
            <w:hideMark/>
          </w:tcPr>
          <w:p w14:paraId="22E1B6C4" w14:textId="4FEA143E" w:rsidR="00141D15" w:rsidRPr="00F22923" w:rsidRDefault="00141D15" w:rsidP="00141D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CD34</w:t>
            </w:r>
            <w:r w:rsidRPr="00A82512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+ stem cell dose </w:t>
            </w:r>
          </w:p>
        </w:tc>
        <w:tc>
          <w:tcPr>
            <w:tcW w:w="1014" w:type="pct"/>
            <w:shd w:val="clear" w:color="auto" w:fill="F2F2F2" w:themeFill="background1" w:themeFillShade="F2"/>
            <w:hideMark/>
          </w:tcPr>
          <w:p w14:paraId="482D52C5" w14:textId="77777777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0.97 (0.91–1.04)</w:t>
            </w:r>
          </w:p>
        </w:tc>
        <w:tc>
          <w:tcPr>
            <w:tcW w:w="677" w:type="pct"/>
            <w:shd w:val="clear" w:color="auto" w:fill="F2F2F2" w:themeFill="background1" w:themeFillShade="F2"/>
            <w:hideMark/>
          </w:tcPr>
          <w:p w14:paraId="0DCD3A0B" w14:textId="77777777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0.46</w:t>
            </w:r>
          </w:p>
        </w:tc>
        <w:tc>
          <w:tcPr>
            <w:tcW w:w="1003" w:type="pct"/>
            <w:shd w:val="clear" w:color="auto" w:fill="F2F2F2" w:themeFill="background1" w:themeFillShade="F2"/>
            <w:hideMark/>
          </w:tcPr>
          <w:p w14:paraId="15386FBF" w14:textId="748450EC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pct"/>
            <w:gridSpan w:val="2"/>
            <w:shd w:val="clear" w:color="auto" w:fill="F2F2F2" w:themeFill="background1" w:themeFillShade="F2"/>
            <w:hideMark/>
          </w:tcPr>
          <w:p w14:paraId="3123AB42" w14:textId="13215FDA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93DF1" w:rsidRPr="00A82512" w14:paraId="51F49DFF" w14:textId="77777777" w:rsidTr="00193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shd w:val="clear" w:color="auto" w:fill="FFFFFF" w:themeFill="background1"/>
            <w:hideMark/>
          </w:tcPr>
          <w:p w14:paraId="50F6B885" w14:textId="77777777" w:rsidR="00141D15" w:rsidRPr="00F22923" w:rsidRDefault="00141D15" w:rsidP="00141D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IPS &gt;2</w:t>
            </w:r>
          </w:p>
        </w:tc>
        <w:tc>
          <w:tcPr>
            <w:tcW w:w="1014" w:type="pct"/>
            <w:shd w:val="clear" w:color="auto" w:fill="FFFFFF" w:themeFill="background1"/>
            <w:hideMark/>
          </w:tcPr>
          <w:p w14:paraId="2411AF85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1.04 (0.45–2.43)</w:t>
            </w:r>
          </w:p>
        </w:tc>
        <w:tc>
          <w:tcPr>
            <w:tcW w:w="677" w:type="pct"/>
            <w:shd w:val="clear" w:color="auto" w:fill="FFFFFF" w:themeFill="background1"/>
            <w:hideMark/>
          </w:tcPr>
          <w:p w14:paraId="558735B1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0.93</w:t>
            </w:r>
          </w:p>
        </w:tc>
        <w:tc>
          <w:tcPr>
            <w:tcW w:w="1003" w:type="pct"/>
            <w:shd w:val="clear" w:color="auto" w:fill="FFFFFF" w:themeFill="background1"/>
            <w:hideMark/>
          </w:tcPr>
          <w:p w14:paraId="3F239FDE" w14:textId="0266FA40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pct"/>
            <w:gridSpan w:val="2"/>
            <w:shd w:val="clear" w:color="auto" w:fill="FFFFFF" w:themeFill="background1"/>
            <w:hideMark/>
          </w:tcPr>
          <w:p w14:paraId="54B8D5F3" w14:textId="439B2ABD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41D15" w:rsidRPr="00A82512" w14:paraId="76C23980" w14:textId="77777777" w:rsidTr="00193DF1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shd w:val="clear" w:color="auto" w:fill="F2F2F2" w:themeFill="background1" w:themeFillShade="F2"/>
            <w:hideMark/>
          </w:tcPr>
          <w:p w14:paraId="305E2DDC" w14:textId="77777777" w:rsidR="00141D15" w:rsidRPr="00F22923" w:rsidRDefault="00141D15" w:rsidP="00141D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Ann Arbor stage 3, 4</w:t>
            </w:r>
          </w:p>
        </w:tc>
        <w:tc>
          <w:tcPr>
            <w:tcW w:w="1014" w:type="pct"/>
            <w:shd w:val="clear" w:color="auto" w:fill="F2F2F2" w:themeFill="background1" w:themeFillShade="F2"/>
            <w:hideMark/>
          </w:tcPr>
          <w:p w14:paraId="28120BD1" w14:textId="77777777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1.71 (0.83–3.54)</w:t>
            </w:r>
          </w:p>
        </w:tc>
        <w:tc>
          <w:tcPr>
            <w:tcW w:w="677" w:type="pct"/>
            <w:shd w:val="clear" w:color="auto" w:fill="F2F2F2" w:themeFill="background1" w:themeFillShade="F2"/>
            <w:hideMark/>
          </w:tcPr>
          <w:p w14:paraId="575C21EC" w14:textId="77777777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0.15</w:t>
            </w:r>
          </w:p>
        </w:tc>
        <w:tc>
          <w:tcPr>
            <w:tcW w:w="1003" w:type="pct"/>
            <w:shd w:val="clear" w:color="auto" w:fill="F2F2F2" w:themeFill="background1" w:themeFillShade="F2"/>
            <w:hideMark/>
          </w:tcPr>
          <w:p w14:paraId="048E4224" w14:textId="77777777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1.56 (0.74–3.35)</w:t>
            </w:r>
          </w:p>
        </w:tc>
        <w:tc>
          <w:tcPr>
            <w:tcW w:w="720" w:type="pct"/>
            <w:gridSpan w:val="2"/>
            <w:shd w:val="clear" w:color="auto" w:fill="F2F2F2" w:themeFill="background1" w:themeFillShade="F2"/>
            <w:hideMark/>
          </w:tcPr>
          <w:p w14:paraId="608C05AA" w14:textId="77777777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0.24</w:t>
            </w:r>
          </w:p>
        </w:tc>
      </w:tr>
      <w:tr w:rsidR="00193DF1" w:rsidRPr="00A82512" w14:paraId="1C402DA7" w14:textId="77777777" w:rsidTr="00193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shd w:val="clear" w:color="auto" w:fill="FFFFFF" w:themeFill="background1"/>
            <w:hideMark/>
          </w:tcPr>
          <w:p w14:paraId="1424CF2D" w14:textId="77777777" w:rsidR="00141D15" w:rsidRPr="00F22923" w:rsidRDefault="00141D15" w:rsidP="00141D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Pretransplantation</w:t>
            </w:r>
            <w:proofErr w:type="spellEnd"/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disease status</w:t>
            </w:r>
          </w:p>
        </w:tc>
        <w:tc>
          <w:tcPr>
            <w:tcW w:w="1014" w:type="pct"/>
            <w:shd w:val="clear" w:color="auto" w:fill="FFFFFF" w:themeFill="background1"/>
            <w:hideMark/>
          </w:tcPr>
          <w:p w14:paraId="632CA592" w14:textId="32C36510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7" w:type="pct"/>
            <w:shd w:val="clear" w:color="auto" w:fill="FFFFFF" w:themeFill="background1"/>
            <w:hideMark/>
          </w:tcPr>
          <w:p w14:paraId="42D8C308" w14:textId="0D08DD79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3" w:type="pct"/>
            <w:shd w:val="clear" w:color="auto" w:fill="FFFFFF" w:themeFill="background1"/>
            <w:hideMark/>
          </w:tcPr>
          <w:p w14:paraId="10BEE074" w14:textId="28252973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pct"/>
            <w:gridSpan w:val="2"/>
            <w:shd w:val="clear" w:color="auto" w:fill="FFFFFF" w:themeFill="background1"/>
            <w:hideMark/>
          </w:tcPr>
          <w:p w14:paraId="05B56DC1" w14:textId="34B3E6FC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41D15" w:rsidRPr="00A82512" w14:paraId="24B0A871" w14:textId="77777777" w:rsidTr="00193DF1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shd w:val="clear" w:color="auto" w:fill="F2F2F2" w:themeFill="background1" w:themeFillShade="F2"/>
            <w:hideMark/>
          </w:tcPr>
          <w:p w14:paraId="65241D68" w14:textId="1BCB63E6" w:rsidR="00141D15" w:rsidRPr="00F22923" w:rsidRDefault="00141D15" w:rsidP="009042B1">
            <w:pPr>
              <w:widowControl/>
              <w:ind w:firstLineChars="100" w:firstLine="224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CR</w:t>
            </w:r>
          </w:p>
        </w:tc>
        <w:tc>
          <w:tcPr>
            <w:tcW w:w="1014" w:type="pct"/>
            <w:shd w:val="clear" w:color="auto" w:fill="F2F2F2" w:themeFill="background1" w:themeFillShade="F2"/>
            <w:hideMark/>
          </w:tcPr>
          <w:p w14:paraId="35891266" w14:textId="77777777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Reference</w:t>
            </w:r>
          </w:p>
        </w:tc>
        <w:tc>
          <w:tcPr>
            <w:tcW w:w="677" w:type="pct"/>
            <w:shd w:val="clear" w:color="auto" w:fill="F2F2F2" w:themeFill="background1" w:themeFillShade="F2"/>
            <w:hideMark/>
          </w:tcPr>
          <w:p w14:paraId="669390F2" w14:textId="74B132F3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3" w:type="pct"/>
            <w:shd w:val="clear" w:color="auto" w:fill="F2F2F2" w:themeFill="background1" w:themeFillShade="F2"/>
            <w:hideMark/>
          </w:tcPr>
          <w:p w14:paraId="462C6F1A" w14:textId="77777777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Reference</w:t>
            </w:r>
          </w:p>
        </w:tc>
        <w:tc>
          <w:tcPr>
            <w:tcW w:w="720" w:type="pct"/>
            <w:gridSpan w:val="2"/>
            <w:shd w:val="clear" w:color="auto" w:fill="F2F2F2" w:themeFill="background1" w:themeFillShade="F2"/>
            <w:hideMark/>
          </w:tcPr>
          <w:p w14:paraId="31AF1475" w14:textId="4CFC9993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93DF1" w:rsidRPr="00A82512" w14:paraId="4A37CB2A" w14:textId="77777777" w:rsidTr="00193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shd w:val="clear" w:color="auto" w:fill="FFFFFF" w:themeFill="background1"/>
            <w:hideMark/>
          </w:tcPr>
          <w:p w14:paraId="283ACC05" w14:textId="53C799AA" w:rsidR="00141D15" w:rsidRPr="00F22923" w:rsidRDefault="00141D15" w:rsidP="009042B1">
            <w:pPr>
              <w:widowControl/>
              <w:ind w:firstLineChars="100" w:firstLine="224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Chemosensitive</w:t>
            </w:r>
            <w:proofErr w:type="spellEnd"/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PR</w:t>
            </w:r>
          </w:p>
        </w:tc>
        <w:tc>
          <w:tcPr>
            <w:tcW w:w="1014" w:type="pct"/>
            <w:shd w:val="clear" w:color="auto" w:fill="FFFFFF" w:themeFill="background1"/>
            <w:hideMark/>
          </w:tcPr>
          <w:p w14:paraId="72B1B4E7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1.65 (0.73–3.73)</w:t>
            </w:r>
          </w:p>
        </w:tc>
        <w:tc>
          <w:tcPr>
            <w:tcW w:w="677" w:type="pct"/>
            <w:shd w:val="clear" w:color="auto" w:fill="FFFFFF" w:themeFill="background1"/>
            <w:hideMark/>
          </w:tcPr>
          <w:p w14:paraId="26760100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0.23</w:t>
            </w:r>
          </w:p>
        </w:tc>
        <w:tc>
          <w:tcPr>
            <w:tcW w:w="1003" w:type="pct"/>
            <w:shd w:val="clear" w:color="auto" w:fill="FFFFFF" w:themeFill="background1"/>
            <w:hideMark/>
          </w:tcPr>
          <w:p w14:paraId="181112E0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1.37 (0.60–3.14)</w:t>
            </w:r>
          </w:p>
        </w:tc>
        <w:tc>
          <w:tcPr>
            <w:tcW w:w="720" w:type="pct"/>
            <w:gridSpan w:val="2"/>
            <w:shd w:val="clear" w:color="auto" w:fill="FFFFFF" w:themeFill="background1"/>
            <w:hideMark/>
          </w:tcPr>
          <w:p w14:paraId="620DE5DA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0.45</w:t>
            </w:r>
          </w:p>
        </w:tc>
      </w:tr>
      <w:tr w:rsidR="00141D15" w:rsidRPr="00A82512" w14:paraId="02B3CAAF" w14:textId="77777777" w:rsidTr="00193DF1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shd w:val="clear" w:color="auto" w:fill="F2F2F2" w:themeFill="background1" w:themeFillShade="F2"/>
            <w:hideMark/>
          </w:tcPr>
          <w:p w14:paraId="5979E478" w14:textId="72840D75" w:rsidR="00141D15" w:rsidRPr="00F22923" w:rsidRDefault="00141D15" w:rsidP="009042B1">
            <w:pPr>
              <w:widowControl/>
              <w:ind w:firstLineChars="100" w:firstLine="224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Chemoresistance PR</w:t>
            </w:r>
          </w:p>
        </w:tc>
        <w:tc>
          <w:tcPr>
            <w:tcW w:w="1014" w:type="pct"/>
            <w:shd w:val="clear" w:color="auto" w:fill="F2F2F2" w:themeFill="background1" w:themeFillShade="F2"/>
            <w:hideMark/>
          </w:tcPr>
          <w:p w14:paraId="343EC41C" w14:textId="77777777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3.44 (0.92–12.94)</w:t>
            </w:r>
          </w:p>
        </w:tc>
        <w:tc>
          <w:tcPr>
            <w:tcW w:w="677" w:type="pct"/>
            <w:shd w:val="clear" w:color="auto" w:fill="F2F2F2" w:themeFill="background1" w:themeFillShade="F2"/>
            <w:hideMark/>
          </w:tcPr>
          <w:p w14:paraId="66F62AF4" w14:textId="77777777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0.066</w:t>
            </w:r>
          </w:p>
        </w:tc>
        <w:tc>
          <w:tcPr>
            <w:tcW w:w="1003" w:type="pct"/>
            <w:shd w:val="clear" w:color="auto" w:fill="F2F2F2" w:themeFill="background1" w:themeFillShade="F2"/>
            <w:hideMark/>
          </w:tcPr>
          <w:p w14:paraId="0CDAC91B" w14:textId="77777777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0" w:name="_Hlk189348145"/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3.94</w:t>
            </w:r>
            <w:bookmarkEnd w:id="0"/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</w:t>
            </w:r>
            <w:bookmarkStart w:id="1" w:name="_Hlk189348150"/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1.03–15.02</w:t>
            </w:r>
            <w:bookmarkEnd w:id="1"/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720" w:type="pct"/>
            <w:gridSpan w:val="2"/>
            <w:shd w:val="clear" w:color="auto" w:fill="F2F2F2" w:themeFill="background1" w:themeFillShade="F2"/>
            <w:hideMark/>
          </w:tcPr>
          <w:p w14:paraId="4061CAF4" w14:textId="439532AC" w:rsidR="00141D15" w:rsidRPr="00C17534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17534"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0.044</w:t>
            </w:r>
          </w:p>
        </w:tc>
      </w:tr>
      <w:tr w:rsidR="00193DF1" w:rsidRPr="00A82512" w14:paraId="2FFF1ACD" w14:textId="77777777" w:rsidTr="00193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shd w:val="clear" w:color="auto" w:fill="FFFFFF" w:themeFill="background1"/>
            <w:hideMark/>
          </w:tcPr>
          <w:p w14:paraId="46735F76" w14:textId="4D1638FD" w:rsidR="00141D15" w:rsidRPr="00F22923" w:rsidRDefault="00141D15" w:rsidP="009042B1">
            <w:pPr>
              <w:widowControl/>
              <w:ind w:firstLineChars="100" w:firstLine="224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Refractory</w:t>
            </w:r>
          </w:p>
        </w:tc>
        <w:tc>
          <w:tcPr>
            <w:tcW w:w="1014" w:type="pct"/>
            <w:shd w:val="clear" w:color="auto" w:fill="FFFFFF" w:themeFill="background1"/>
            <w:hideMark/>
          </w:tcPr>
          <w:p w14:paraId="5321FB13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2.79 (0.93–8.35)</w:t>
            </w:r>
          </w:p>
        </w:tc>
        <w:tc>
          <w:tcPr>
            <w:tcW w:w="677" w:type="pct"/>
            <w:shd w:val="clear" w:color="auto" w:fill="FFFFFF" w:themeFill="background1"/>
            <w:hideMark/>
          </w:tcPr>
          <w:p w14:paraId="59A9E423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0.066</w:t>
            </w:r>
          </w:p>
        </w:tc>
        <w:tc>
          <w:tcPr>
            <w:tcW w:w="1003" w:type="pct"/>
            <w:shd w:val="clear" w:color="auto" w:fill="FFFFFF" w:themeFill="background1"/>
            <w:hideMark/>
          </w:tcPr>
          <w:p w14:paraId="65A2038E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2.11 (0.70–3.14)</w:t>
            </w:r>
          </w:p>
        </w:tc>
        <w:tc>
          <w:tcPr>
            <w:tcW w:w="720" w:type="pct"/>
            <w:gridSpan w:val="2"/>
            <w:shd w:val="clear" w:color="auto" w:fill="FFFFFF" w:themeFill="background1"/>
            <w:hideMark/>
          </w:tcPr>
          <w:p w14:paraId="136F4D8F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0.19</w:t>
            </w:r>
          </w:p>
        </w:tc>
      </w:tr>
      <w:tr w:rsidR="00141D15" w:rsidRPr="00A82512" w14:paraId="1F3DEDAA" w14:textId="77777777" w:rsidTr="00193DF1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shd w:val="clear" w:color="auto" w:fill="F2F2F2" w:themeFill="background1" w:themeFillShade="F2"/>
            <w:hideMark/>
          </w:tcPr>
          <w:p w14:paraId="68B3F89F" w14:textId="77777777" w:rsidR="00141D15" w:rsidRPr="00F22923" w:rsidRDefault="00141D15" w:rsidP="00141D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Conditioning regimen</w:t>
            </w:r>
          </w:p>
        </w:tc>
        <w:tc>
          <w:tcPr>
            <w:tcW w:w="1014" w:type="pct"/>
            <w:shd w:val="clear" w:color="auto" w:fill="F2F2F2" w:themeFill="background1" w:themeFillShade="F2"/>
            <w:hideMark/>
          </w:tcPr>
          <w:p w14:paraId="5B55D6E8" w14:textId="119C7BA4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7" w:type="pct"/>
            <w:shd w:val="clear" w:color="auto" w:fill="F2F2F2" w:themeFill="background1" w:themeFillShade="F2"/>
            <w:hideMark/>
          </w:tcPr>
          <w:p w14:paraId="072278BF" w14:textId="3B3FF0E2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3" w:type="pct"/>
            <w:shd w:val="clear" w:color="auto" w:fill="F2F2F2" w:themeFill="background1" w:themeFillShade="F2"/>
            <w:hideMark/>
          </w:tcPr>
          <w:p w14:paraId="507EF188" w14:textId="1F08F1AF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pct"/>
            <w:gridSpan w:val="2"/>
            <w:shd w:val="clear" w:color="auto" w:fill="F2F2F2" w:themeFill="background1" w:themeFillShade="F2"/>
            <w:hideMark/>
          </w:tcPr>
          <w:p w14:paraId="3104C673" w14:textId="352C8969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93DF1" w:rsidRPr="00A82512" w14:paraId="0627EC6D" w14:textId="77777777" w:rsidTr="00193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shd w:val="clear" w:color="auto" w:fill="FFFFFF" w:themeFill="background1"/>
            <w:hideMark/>
          </w:tcPr>
          <w:p w14:paraId="25D35BF7" w14:textId="77777777" w:rsidR="00141D15" w:rsidRPr="00F22923" w:rsidRDefault="00141D15" w:rsidP="00141D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 BEAM-based</w:t>
            </w:r>
          </w:p>
        </w:tc>
        <w:tc>
          <w:tcPr>
            <w:tcW w:w="1014" w:type="pct"/>
            <w:shd w:val="clear" w:color="auto" w:fill="FFFFFF" w:themeFill="background1"/>
            <w:hideMark/>
          </w:tcPr>
          <w:p w14:paraId="387BD7F7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Reference</w:t>
            </w:r>
          </w:p>
        </w:tc>
        <w:tc>
          <w:tcPr>
            <w:tcW w:w="677" w:type="pct"/>
            <w:shd w:val="clear" w:color="auto" w:fill="FFFFFF" w:themeFill="background1"/>
            <w:hideMark/>
          </w:tcPr>
          <w:p w14:paraId="0218F248" w14:textId="08A05BE3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3" w:type="pct"/>
            <w:shd w:val="clear" w:color="auto" w:fill="FFFFFF" w:themeFill="background1"/>
            <w:hideMark/>
          </w:tcPr>
          <w:p w14:paraId="12135594" w14:textId="0AF1C5AC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pct"/>
            <w:gridSpan w:val="2"/>
            <w:shd w:val="clear" w:color="auto" w:fill="FFFFFF" w:themeFill="background1"/>
            <w:hideMark/>
          </w:tcPr>
          <w:p w14:paraId="0AC6C2B2" w14:textId="7838FF6B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41D15" w:rsidRPr="00A82512" w14:paraId="7B6FBB72" w14:textId="77777777" w:rsidTr="00193DF1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shd w:val="clear" w:color="auto" w:fill="F2F2F2" w:themeFill="background1" w:themeFillShade="F2"/>
            <w:hideMark/>
          </w:tcPr>
          <w:p w14:paraId="44A5C932" w14:textId="77777777" w:rsidR="00141D15" w:rsidRPr="00F22923" w:rsidRDefault="00141D15" w:rsidP="00141D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 GBM-based</w:t>
            </w:r>
          </w:p>
        </w:tc>
        <w:tc>
          <w:tcPr>
            <w:tcW w:w="1014" w:type="pct"/>
            <w:shd w:val="clear" w:color="auto" w:fill="F2F2F2" w:themeFill="background1" w:themeFillShade="F2"/>
            <w:hideMark/>
          </w:tcPr>
          <w:p w14:paraId="27245477" w14:textId="77777777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0.70 (0.16–2.98)</w:t>
            </w:r>
          </w:p>
        </w:tc>
        <w:tc>
          <w:tcPr>
            <w:tcW w:w="677" w:type="pct"/>
            <w:shd w:val="clear" w:color="auto" w:fill="F2F2F2" w:themeFill="background1" w:themeFillShade="F2"/>
            <w:hideMark/>
          </w:tcPr>
          <w:p w14:paraId="37C90FC7" w14:textId="77777777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0.63</w:t>
            </w:r>
          </w:p>
        </w:tc>
        <w:tc>
          <w:tcPr>
            <w:tcW w:w="1003" w:type="pct"/>
            <w:shd w:val="clear" w:color="auto" w:fill="F2F2F2" w:themeFill="background1" w:themeFillShade="F2"/>
            <w:hideMark/>
          </w:tcPr>
          <w:p w14:paraId="376F2820" w14:textId="3DABA4F5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pct"/>
            <w:gridSpan w:val="2"/>
            <w:shd w:val="clear" w:color="auto" w:fill="F2F2F2" w:themeFill="background1" w:themeFillShade="F2"/>
            <w:hideMark/>
          </w:tcPr>
          <w:p w14:paraId="3E631D81" w14:textId="7CE412DB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93DF1" w:rsidRPr="00A82512" w14:paraId="698FC08B" w14:textId="77777777" w:rsidTr="00193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shd w:val="clear" w:color="auto" w:fill="FFFFFF" w:themeFill="background1"/>
            <w:hideMark/>
          </w:tcPr>
          <w:p w14:paraId="0876FF9A" w14:textId="77777777" w:rsidR="00141D15" w:rsidRPr="00F22923" w:rsidRDefault="00141D15" w:rsidP="00141D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 Others</w:t>
            </w:r>
          </w:p>
        </w:tc>
        <w:tc>
          <w:tcPr>
            <w:tcW w:w="1014" w:type="pct"/>
            <w:shd w:val="clear" w:color="auto" w:fill="FFFFFF" w:themeFill="background1"/>
            <w:hideMark/>
          </w:tcPr>
          <w:p w14:paraId="58385BBC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1.23 (0.56–2.67)</w:t>
            </w:r>
          </w:p>
        </w:tc>
        <w:tc>
          <w:tcPr>
            <w:tcW w:w="677" w:type="pct"/>
            <w:shd w:val="clear" w:color="auto" w:fill="FFFFFF" w:themeFill="background1"/>
            <w:hideMark/>
          </w:tcPr>
          <w:p w14:paraId="05241C42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0.61</w:t>
            </w:r>
          </w:p>
        </w:tc>
        <w:tc>
          <w:tcPr>
            <w:tcW w:w="1003" w:type="pct"/>
            <w:shd w:val="clear" w:color="auto" w:fill="FFFFFF" w:themeFill="background1"/>
            <w:hideMark/>
          </w:tcPr>
          <w:p w14:paraId="555CC51A" w14:textId="54B4632E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pct"/>
            <w:gridSpan w:val="2"/>
            <w:shd w:val="clear" w:color="auto" w:fill="FFFFFF" w:themeFill="background1"/>
            <w:hideMark/>
          </w:tcPr>
          <w:p w14:paraId="630247F7" w14:textId="274DACDC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41D15" w:rsidRPr="00A82512" w14:paraId="799B5014" w14:textId="77777777" w:rsidTr="00193DF1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shd w:val="clear" w:color="auto" w:fill="F2F2F2" w:themeFill="background1" w:themeFillShade="F2"/>
            <w:hideMark/>
          </w:tcPr>
          <w:p w14:paraId="4ADA9154" w14:textId="77777777" w:rsidR="00141D15" w:rsidRPr="00F22923" w:rsidRDefault="00141D15" w:rsidP="00141D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EFI</w:t>
            </w:r>
          </w:p>
        </w:tc>
        <w:tc>
          <w:tcPr>
            <w:tcW w:w="1014" w:type="pct"/>
            <w:shd w:val="clear" w:color="auto" w:fill="F2F2F2" w:themeFill="background1" w:themeFillShade="F2"/>
            <w:hideMark/>
          </w:tcPr>
          <w:p w14:paraId="3E060E85" w14:textId="77777777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2.38 (1.18–4.77)</w:t>
            </w:r>
          </w:p>
        </w:tc>
        <w:tc>
          <w:tcPr>
            <w:tcW w:w="677" w:type="pct"/>
            <w:shd w:val="clear" w:color="auto" w:fill="F2F2F2" w:themeFill="background1" w:themeFillShade="F2"/>
            <w:hideMark/>
          </w:tcPr>
          <w:p w14:paraId="0967D757" w14:textId="1AF39523" w:rsidR="00141D15" w:rsidRPr="00C17534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17534"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0.015</w:t>
            </w:r>
          </w:p>
        </w:tc>
        <w:tc>
          <w:tcPr>
            <w:tcW w:w="1003" w:type="pct"/>
            <w:shd w:val="clear" w:color="auto" w:fill="F2F2F2" w:themeFill="background1" w:themeFillShade="F2"/>
            <w:hideMark/>
          </w:tcPr>
          <w:p w14:paraId="6FBCE1F8" w14:textId="77777777" w:rsidR="00141D15" w:rsidRPr="00F22923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2.21 (1.07–4.58)</w:t>
            </w:r>
          </w:p>
        </w:tc>
        <w:tc>
          <w:tcPr>
            <w:tcW w:w="720" w:type="pct"/>
            <w:gridSpan w:val="2"/>
            <w:shd w:val="clear" w:color="auto" w:fill="F2F2F2" w:themeFill="background1" w:themeFillShade="F2"/>
            <w:hideMark/>
          </w:tcPr>
          <w:p w14:paraId="3C35DE3B" w14:textId="0DAD11EC" w:rsidR="00141D15" w:rsidRPr="00C17534" w:rsidRDefault="00141D15" w:rsidP="00141D1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C17534"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0.032</w:t>
            </w:r>
          </w:p>
        </w:tc>
      </w:tr>
      <w:tr w:rsidR="00193DF1" w:rsidRPr="00A82512" w14:paraId="47BF0DFE" w14:textId="77777777" w:rsidTr="00193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tcBorders>
              <w:bottom w:val="single" w:sz="12" w:space="0" w:color="auto"/>
            </w:tcBorders>
            <w:shd w:val="clear" w:color="auto" w:fill="FFFFFF" w:themeFill="background1"/>
            <w:hideMark/>
          </w:tcPr>
          <w:p w14:paraId="565BF684" w14:textId="77777777" w:rsidR="00141D15" w:rsidRPr="00F22923" w:rsidRDefault="00141D15" w:rsidP="00141D1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Post-transplantation BV consolidation</w:t>
            </w:r>
          </w:p>
        </w:tc>
        <w:tc>
          <w:tcPr>
            <w:tcW w:w="1014" w:type="pct"/>
            <w:tcBorders>
              <w:bottom w:val="single" w:sz="12" w:space="0" w:color="auto"/>
            </w:tcBorders>
            <w:shd w:val="clear" w:color="auto" w:fill="FFFFFF" w:themeFill="background1"/>
            <w:hideMark/>
          </w:tcPr>
          <w:p w14:paraId="210D0B7C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0.89 (0.34–2.32)</w:t>
            </w:r>
          </w:p>
        </w:tc>
        <w:tc>
          <w:tcPr>
            <w:tcW w:w="677" w:type="pct"/>
            <w:tcBorders>
              <w:bottom w:val="single" w:sz="12" w:space="0" w:color="auto"/>
            </w:tcBorders>
            <w:shd w:val="clear" w:color="auto" w:fill="FFFFFF" w:themeFill="background1"/>
            <w:hideMark/>
          </w:tcPr>
          <w:p w14:paraId="0C7E4C3F" w14:textId="77777777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22923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0.82</w:t>
            </w:r>
          </w:p>
        </w:tc>
        <w:tc>
          <w:tcPr>
            <w:tcW w:w="1003" w:type="pct"/>
            <w:tcBorders>
              <w:bottom w:val="single" w:sz="12" w:space="0" w:color="auto"/>
            </w:tcBorders>
            <w:shd w:val="clear" w:color="auto" w:fill="FFFFFF" w:themeFill="background1"/>
            <w:hideMark/>
          </w:tcPr>
          <w:p w14:paraId="643FC934" w14:textId="69ED42E5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0" w:type="pct"/>
            <w:gridSpan w:val="2"/>
            <w:tcBorders>
              <w:bottom w:val="single" w:sz="12" w:space="0" w:color="auto"/>
            </w:tcBorders>
            <w:shd w:val="clear" w:color="auto" w:fill="FFFFFF" w:themeFill="background1"/>
            <w:hideMark/>
          </w:tcPr>
          <w:p w14:paraId="7E16B231" w14:textId="4E2C3643" w:rsidR="00141D15" w:rsidRPr="00F22923" w:rsidRDefault="00141D15" w:rsidP="00141D1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563D320" w14:textId="3CEEE678" w:rsidR="00CD375F" w:rsidRPr="00A82512" w:rsidRDefault="00CD375F" w:rsidP="00CD375F">
      <w:pPr>
        <w:rPr>
          <w:rFonts w:ascii="Times New Roman" w:hAnsi="Times New Roman" w:cs="Times New Roman"/>
        </w:rPr>
      </w:pPr>
      <w:r w:rsidRPr="00A82512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 xml:space="preserve">Abbreviations: BEAM: </w:t>
      </w:r>
      <w:proofErr w:type="spellStart"/>
      <w:r w:rsidRPr="00A82512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>carmustine</w:t>
      </w:r>
      <w:proofErr w:type="spellEnd"/>
      <w:r w:rsidRPr="00A82512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 xml:space="preserve">, etoposide, cytarabine and melphalan; BV: brentuximab </w:t>
      </w:r>
      <w:proofErr w:type="spellStart"/>
      <w:r w:rsidRPr="00A82512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>vedotin</w:t>
      </w:r>
      <w:proofErr w:type="spellEnd"/>
      <w:r w:rsidRPr="00A82512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 xml:space="preserve">; CCI: Charlson comorbidity index; </w:t>
      </w:r>
      <w:r w:rsidRPr="004B158C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CR</w:t>
      </w:r>
      <w:r w:rsidRPr="00A82512">
        <w:rPr>
          <w:rFonts w:ascii="Times New Roman" w:eastAsia="新細明體" w:hAnsi="Times New Roman" w:cs="Times New Roman"/>
          <w:color w:val="000000"/>
          <w:kern w:val="0"/>
          <w14:ligatures w14:val="none"/>
        </w:rPr>
        <w:t xml:space="preserve">: complete response; EFI: early failure of induction; </w:t>
      </w:r>
      <w:proofErr w:type="spellStart"/>
      <w:r w:rsidRPr="004B158C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GemBuMel</w:t>
      </w:r>
      <w:proofErr w:type="spellEnd"/>
      <w:r w:rsidRPr="00A82512">
        <w:rPr>
          <w:rFonts w:ascii="Times New Roman" w:eastAsia="新細明體" w:hAnsi="Times New Roman" w:cs="Times New Roman"/>
          <w:color w:val="000000"/>
          <w:kern w:val="0"/>
          <w14:ligatures w14:val="none"/>
        </w:rPr>
        <w:t xml:space="preserve">: gemcitabine, busulfan and melphalan; IPS: International prognostic score; PR: partial response. </w:t>
      </w:r>
    </w:p>
    <w:p w14:paraId="71A41CE0" w14:textId="553AC771" w:rsidR="00A82512" w:rsidRDefault="00A82512">
      <w:pPr>
        <w:widowControl/>
        <w:rPr>
          <w:rFonts w:ascii="Times New Roman" w:hAnsi="Times New Roman" w:cs="Times New Roman"/>
        </w:rPr>
      </w:pPr>
      <w:r w:rsidRPr="00A82512">
        <w:rPr>
          <w:rFonts w:ascii="Times New Roman" w:hAnsi="Times New Roman" w:cs="Times New Roman"/>
        </w:rPr>
        <w:br w:type="page"/>
      </w:r>
    </w:p>
    <w:p w14:paraId="25D16936" w14:textId="19D07E9E" w:rsidR="009042B1" w:rsidRPr="00A82512" w:rsidRDefault="009042B1" w:rsidP="009042B1">
      <w:pPr>
        <w:rPr>
          <w:rFonts w:ascii="Times New Roman" w:hAnsi="Times New Roman" w:cs="Times New Roman"/>
        </w:rPr>
      </w:pPr>
      <w:r w:rsidRPr="00F22923">
        <w:rPr>
          <w:rFonts w:ascii="Times New Roman" w:eastAsia="新細明體" w:hAnsi="Times New Roman" w:cs="Times New Roman"/>
          <w:b/>
          <w:bCs/>
          <w:kern w:val="0"/>
          <w14:ligatures w14:val="none"/>
        </w:rPr>
        <w:lastRenderedPageBreak/>
        <w:t xml:space="preserve">Table </w:t>
      </w:r>
      <w:r>
        <w:rPr>
          <w:rFonts w:ascii="Times New Roman" w:eastAsia="新細明體" w:hAnsi="Times New Roman" w:cs="Times New Roman" w:hint="eastAsia"/>
          <w:b/>
          <w:bCs/>
          <w:kern w:val="0"/>
          <w14:ligatures w14:val="none"/>
        </w:rPr>
        <w:t>3</w:t>
      </w:r>
      <w:r w:rsidRPr="00F22923">
        <w:rPr>
          <w:rFonts w:ascii="Times New Roman" w:eastAsia="新細明體" w:hAnsi="Times New Roman" w:cs="Times New Roman"/>
          <w:b/>
          <w:bCs/>
          <w:kern w:val="0"/>
          <w14:ligatures w14:val="none"/>
        </w:rPr>
        <w:t xml:space="preserve">: </w:t>
      </w:r>
      <w:r w:rsidRPr="00F22923">
        <w:rPr>
          <w:rFonts w:ascii="Times New Roman" w:eastAsia="新細明體" w:hAnsi="Times New Roman" w:cs="Times New Roman"/>
          <w:kern w:val="0"/>
          <w14:ligatures w14:val="none"/>
        </w:rPr>
        <w:t>Comparison between baseline characteristics</w:t>
      </w:r>
      <w:r w:rsidRPr="00A82512">
        <w:rPr>
          <w:rFonts w:ascii="Times New Roman" w:eastAsia="新細明體" w:hAnsi="Times New Roman" w:cs="Times New Roman"/>
          <w:kern w:val="0"/>
          <w14:ligatures w14:val="none"/>
        </w:rPr>
        <w:t xml:space="preserve"> before and after propensity score matching (PSM) and inverse probability treatment weighting (IPTW) adjustments.</w:t>
      </w:r>
    </w:p>
    <w:tbl>
      <w:tblPr>
        <w:tblW w:w="490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2"/>
        <w:gridCol w:w="773"/>
        <w:gridCol w:w="773"/>
        <w:gridCol w:w="682"/>
        <w:gridCol w:w="682"/>
        <w:gridCol w:w="771"/>
        <w:gridCol w:w="771"/>
        <w:gridCol w:w="680"/>
        <w:gridCol w:w="680"/>
        <w:gridCol w:w="771"/>
        <w:gridCol w:w="771"/>
        <w:gridCol w:w="680"/>
        <w:gridCol w:w="680"/>
      </w:tblGrid>
      <w:tr w:rsidR="009042B1" w:rsidRPr="00A82512" w14:paraId="2569E77D" w14:textId="77777777" w:rsidTr="00FF5C80">
        <w:trPr>
          <w:trHeight w:val="330"/>
        </w:trPr>
        <w:tc>
          <w:tcPr>
            <w:tcW w:w="7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E03DF" w14:textId="77777777" w:rsidR="009042B1" w:rsidRPr="00A82512" w:rsidRDefault="009042B1" w:rsidP="00FF5C80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416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DA77840" w14:textId="77777777" w:rsidR="009042B1" w:rsidRPr="00A82512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82512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Unadjusted</w:t>
            </w:r>
          </w:p>
        </w:tc>
        <w:tc>
          <w:tcPr>
            <w:tcW w:w="1412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BCFB02" w14:textId="77777777" w:rsidR="009042B1" w:rsidRPr="00A82512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82512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PSM</w:t>
            </w:r>
          </w:p>
        </w:tc>
        <w:tc>
          <w:tcPr>
            <w:tcW w:w="1412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8F62157" w14:textId="77777777" w:rsidR="009042B1" w:rsidRPr="00A82512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82512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IPTW</w:t>
            </w:r>
          </w:p>
        </w:tc>
      </w:tr>
      <w:tr w:rsidR="009042B1" w:rsidRPr="00A82512" w14:paraId="70BAA26F" w14:textId="77777777" w:rsidTr="00FF5C80">
        <w:trPr>
          <w:trHeight w:val="330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7AED" w14:textId="77777777" w:rsidR="009042B1" w:rsidRPr="00EE3D16" w:rsidRDefault="009042B1" w:rsidP="00FF5C80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92D21B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Non-EFI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9320F6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EFI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645E53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8371A4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SMD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721B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Non-EFI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1AE6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EFI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C006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882F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SMD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296365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Non-EFI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D6D7E3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EFI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24C9CD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5E8901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SMD</w:t>
            </w:r>
          </w:p>
        </w:tc>
      </w:tr>
      <w:tr w:rsidR="009042B1" w:rsidRPr="00A82512" w14:paraId="685FB430" w14:textId="77777777" w:rsidTr="00FF5C80">
        <w:trPr>
          <w:trHeight w:val="330"/>
        </w:trPr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66992" w14:textId="77777777" w:rsidR="009042B1" w:rsidRPr="00EE3D16" w:rsidRDefault="009042B1" w:rsidP="00FF5C80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3CD997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741745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111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ADB2B8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AE28F6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669B1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17CBF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B963D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F5688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379E56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C217B1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13C1F6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04B9FA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042B1" w:rsidRPr="00A82512" w14:paraId="6F5E469A" w14:textId="77777777" w:rsidTr="00FF5C80">
        <w:trPr>
          <w:trHeight w:val="330"/>
        </w:trPr>
        <w:tc>
          <w:tcPr>
            <w:tcW w:w="7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85C1" w14:textId="77777777" w:rsidR="009042B1" w:rsidRPr="00EE3D16" w:rsidRDefault="009042B1" w:rsidP="00FF5C80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Age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6821AB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29 [24, 36]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E06DD2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27 [21, 41]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E1DCD1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0.322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E11B5D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0.155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85AB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29 [25, 34]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C484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27 [22, 39]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DC2A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0.451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F36C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0.009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9770F8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29 [24, 36]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D5A1F3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27 [22, 38]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B2C889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0.628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C400C4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0.012</w:t>
            </w:r>
          </w:p>
        </w:tc>
      </w:tr>
      <w:tr w:rsidR="009042B1" w:rsidRPr="00A82512" w14:paraId="5523F785" w14:textId="77777777" w:rsidTr="00FF5C80">
        <w:trPr>
          <w:trHeight w:val="330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7543" w14:textId="77777777" w:rsidR="009042B1" w:rsidRPr="00EE3D16" w:rsidRDefault="009042B1" w:rsidP="00FF5C80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Male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EA53CC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66 (52.0)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9D8562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65 (58.6)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12FD5B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0.361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8E7687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0.192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1D85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27 (52.9)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3030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34 (66.7)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761B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0.225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CD63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0.137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07382A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66.2 (60.7)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027E00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70.3 (62.3)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A87834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0.877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183130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0.016</w:t>
            </w:r>
          </w:p>
        </w:tc>
      </w:tr>
      <w:tr w:rsidR="009042B1" w:rsidRPr="00A82512" w14:paraId="5539A7EC" w14:textId="77777777" w:rsidTr="00FF5C80">
        <w:trPr>
          <w:trHeight w:val="330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9789" w14:textId="77777777" w:rsidR="009042B1" w:rsidRPr="00EE3D16" w:rsidRDefault="009042B1" w:rsidP="00FF5C80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CCI&gt;2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514408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22 (17.3)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AB918A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21 (18.9)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FB4289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0.866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344EB8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0.092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D797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7 (13.7)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8151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9 (17.6)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C284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0.786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FD60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0.039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0700EC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17.3 (15.9)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BB4EA7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20.5 (18.2)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C52C3E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0.761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3F1C9F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0.023</w:t>
            </w:r>
          </w:p>
        </w:tc>
      </w:tr>
      <w:tr w:rsidR="009042B1" w:rsidRPr="00A82512" w14:paraId="14382009" w14:textId="77777777" w:rsidTr="00FF5C80">
        <w:trPr>
          <w:trHeight w:val="330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F05D" w14:textId="77777777" w:rsidR="009042B1" w:rsidRPr="00EE3D16" w:rsidRDefault="009042B1" w:rsidP="00FF5C80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Diagnosed after 2016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70DB47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27 (21.4)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99152D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38 (34.2)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CE25C8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14:ligatures w14:val="none"/>
              </w:rPr>
              <w:t>0.03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8C399B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0.171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C1E2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 (15.7)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B505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13 (25.5)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6A52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0.327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8124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0.098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170225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28.0 (25.7)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BA0489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28.4 (25.2)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4CAD00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0.961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95A717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0.005</w:t>
            </w:r>
          </w:p>
        </w:tc>
      </w:tr>
      <w:tr w:rsidR="009042B1" w:rsidRPr="00A82512" w14:paraId="675365C0" w14:textId="77777777" w:rsidTr="00FF5C80">
        <w:trPr>
          <w:trHeight w:val="330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A45A" w14:textId="1A3C9EBE" w:rsidR="009042B1" w:rsidRPr="00EE3D16" w:rsidRDefault="009042B1" w:rsidP="00FF5C80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Ann Arbor stage </w:t>
            </w:r>
            <w:r w:rsidR="005C1A3A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14:ligatures w14:val="none"/>
              </w:rPr>
              <w:t>III/IV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7AFB8B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68 (54.0)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10DE16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68 (61.3)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24BC9E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0.293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64F64F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0.064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E061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26 (51.0)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E579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27 (52.9)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0C94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A82512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&gt;0.99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5764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0.020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DD780F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55.5 (50.9)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53C465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60.7 (53.8)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A23494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0.776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C7DC19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0.029</w:t>
            </w:r>
          </w:p>
        </w:tc>
      </w:tr>
      <w:tr w:rsidR="009042B1" w:rsidRPr="00A82512" w14:paraId="13BCA1F0" w14:textId="77777777" w:rsidTr="00FF5C80">
        <w:trPr>
          <w:trHeight w:val="330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5936" w14:textId="77777777" w:rsidR="009042B1" w:rsidRPr="00EE3D16" w:rsidRDefault="009042B1" w:rsidP="00FF5C80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Nodular sclerosis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3213A8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78 (72.2)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28DFDB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69 (79.3)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20CDDF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0.316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869A68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0.061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830A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37 (72.5)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E8D4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39 (76.5)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F0D3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0.821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8007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0.039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0C8147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80.2 (73.5)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C880D8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84.4 (74.8)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03C8A4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0.889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352440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0.013</w:t>
            </w:r>
          </w:p>
        </w:tc>
      </w:tr>
      <w:tr w:rsidR="009042B1" w:rsidRPr="00A82512" w14:paraId="78605920" w14:textId="77777777" w:rsidTr="00FF5C80">
        <w:trPr>
          <w:trHeight w:val="330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433D" w14:textId="77777777" w:rsidR="009042B1" w:rsidRPr="00EE3D16" w:rsidRDefault="009042B1" w:rsidP="00FF5C80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IPS &gt; 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2946D7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23 (34.3)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8F6B1D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42 (51.9)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0D1C89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14:ligatures w14:val="none"/>
              </w:rPr>
              <w:t>0.046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0CAE47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0.178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B2F5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16 (31.4)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40B0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20 (39.2)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780E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0.535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7BF0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0.078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2B91A2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43.6 (39.9)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7EDFD2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47.1 (41.8)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5D71AD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0.858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DED363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0.018</w:t>
            </w:r>
          </w:p>
        </w:tc>
      </w:tr>
      <w:tr w:rsidR="009042B1" w:rsidRPr="00A82512" w14:paraId="747A009F" w14:textId="77777777" w:rsidTr="00FF5C80">
        <w:trPr>
          <w:trHeight w:val="330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0A80" w14:textId="77777777" w:rsidR="009042B1" w:rsidRPr="00EE3D16" w:rsidRDefault="009042B1" w:rsidP="00FF5C80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Previous BV before HSCT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C79D4E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17 (13.4)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EA73C9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18 (16.2)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688D34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0.585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FE0405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0.033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FEAB" w14:textId="77777777" w:rsidR="009042B1" w:rsidRPr="00A82512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5 </w:t>
            </w:r>
          </w:p>
          <w:p w14:paraId="38F2D192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(9.8)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93A5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7 (13.7)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1755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0.76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CB0E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0.039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24B43F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12.5 (11.5)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23BEC3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12.8 (11.4)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5A0B91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0.988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7A9384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0.001</w:t>
            </w:r>
          </w:p>
        </w:tc>
      </w:tr>
      <w:tr w:rsidR="009042B1" w:rsidRPr="00A82512" w14:paraId="02B2BE72" w14:textId="77777777" w:rsidTr="00FF5C80">
        <w:trPr>
          <w:trHeight w:val="330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D385" w14:textId="77777777" w:rsidR="009042B1" w:rsidRPr="00EE3D16" w:rsidRDefault="009042B1" w:rsidP="00FF5C80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Disease status at HSCT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9D3D40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43B955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29E018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0.185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870058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DAC1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ED16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5011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0.732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654E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5345F7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AFEC65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0CCC76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0.89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0CA8C0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042B1" w:rsidRPr="00A82512" w14:paraId="79D939DE" w14:textId="77777777" w:rsidTr="00FF5C80">
        <w:trPr>
          <w:trHeight w:val="330"/>
        </w:trPr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D616" w14:textId="77777777" w:rsidR="009042B1" w:rsidRPr="00EE3D16" w:rsidRDefault="009042B1" w:rsidP="00FF5C80">
            <w:pPr>
              <w:widowControl/>
              <w:spacing w:after="0" w:line="240" w:lineRule="auto"/>
              <w:ind w:firstLineChars="100" w:firstLine="245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CR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61C616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52 (42.3)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F91E66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37 (33.9)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0FF1D2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BCB2B2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0.090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335A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23 (45.1)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D1A0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21 (41.2)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9701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DDD3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0.039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9FC709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47.2 (43.2)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A386E1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46.8 (41.5)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7A1AB7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5FA212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0.017</w:t>
            </w:r>
          </w:p>
        </w:tc>
      </w:tr>
      <w:tr w:rsidR="009042B1" w:rsidRPr="00A82512" w14:paraId="778B5E0C" w14:textId="77777777" w:rsidTr="00FF5C80">
        <w:trPr>
          <w:trHeight w:val="330"/>
        </w:trPr>
        <w:tc>
          <w:tcPr>
            <w:tcW w:w="7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F5BB" w14:textId="77777777" w:rsidR="009042B1" w:rsidRPr="00EE3D16" w:rsidRDefault="009042B1" w:rsidP="00FF5C80">
            <w:pPr>
              <w:widowControl/>
              <w:spacing w:after="0" w:line="240" w:lineRule="auto"/>
              <w:ind w:firstLineChars="100" w:firstLine="245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Chemosensitive</w:t>
            </w:r>
            <w:proofErr w:type="spellEnd"/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PR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18D8FA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57 (46.3)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48EB0D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51 (46.8)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6E31B5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75BA62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0.025</w:t>
            </w:r>
          </w:p>
        </w:tc>
        <w:tc>
          <w:tcPr>
            <w:tcW w:w="3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FBF9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23 (45.1)</w:t>
            </w:r>
          </w:p>
        </w:tc>
        <w:tc>
          <w:tcPr>
            <w:tcW w:w="3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4609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22 (43.1)</w:t>
            </w:r>
          </w:p>
        </w:tc>
        <w:tc>
          <w:tcPr>
            <w:tcW w:w="3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CB84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77B8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0.020</w:t>
            </w:r>
          </w:p>
        </w:tc>
        <w:tc>
          <w:tcPr>
            <w:tcW w:w="375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72B5D8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48.9 (44.8)</w:t>
            </w:r>
          </w:p>
        </w:tc>
        <w:tc>
          <w:tcPr>
            <w:tcW w:w="375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B6FDCD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48.6 (43.1)</w:t>
            </w:r>
          </w:p>
        </w:tc>
        <w:tc>
          <w:tcPr>
            <w:tcW w:w="331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33959D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FF707E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0.017</w:t>
            </w:r>
          </w:p>
        </w:tc>
      </w:tr>
      <w:tr w:rsidR="009042B1" w:rsidRPr="00A82512" w14:paraId="4562AB9E" w14:textId="77777777" w:rsidTr="00FF5C80">
        <w:trPr>
          <w:trHeight w:val="330"/>
        </w:trPr>
        <w:tc>
          <w:tcPr>
            <w:tcW w:w="7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3EF1E" w14:textId="50079055" w:rsidR="009042B1" w:rsidRPr="00EE3D16" w:rsidRDefault="009042B1" w:rsidP="00FF5C80">
            <w:pPr>
              <w:widowControl/>
              <w:spacing w:after="0" w:line="240" w:lineRule="auto"/>
              <w:ind w:firstLineChars="100" w:firstLine="245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E3D16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14:ligatures w14:val="none"/>
              </w:rPr>
              <w:t>Others</w:t>
            </w:r>
            <w:r w:rsidR="00606BC6" w:rsidRPr="00606BC6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vertAlign w:val="superscript"/>
                <w14:ligatures w14:val="none"/>
              </w:rPr>
              <w:t>a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191603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14 (11.4)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6E28D6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21 (19.3)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2178FB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2AE37D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615FE" w14:textId="77777777" w:rsidR="009042B1" w:rsidRPr="00A82512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5 </w:t>
            </w:r>
          </w:p>
          <w:p w14:paraId="5866741C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(9.8)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130E8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8 (15.7)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E3337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F6D11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0.059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4805D5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13.1 (12.0)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14A25A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17.3 (15.3)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A55F10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3CD920" w14:textId="77777777" w:rsidR="009042B1" w:rsidRPr="00EE3D16" w:rsidRDefault="009042B1" w:rsidP="00FF5C80">
            <w:pPr>
              <w:widowControl/>
              <w:spacing w:after="0" w:line="240" w:lineRule="auto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E3D16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0.034</w:t>
            </w:r>
          </w:p>
        </w:tc>
      </w:tr>
    </w:tbl>
    <w:p w14:paraId="0C37640D" w14:textId="22353F81" w:rsidR="00606BC6" w:rsidRDefault="00606BC6" w:rsidP="009042B1">
      <w:pPr>
        <w:rPr>
          <w:rFonts w:ascii="Times New Roman" w:hAnsi="Times New Roman" w:cs="Times New Roman"/>
        </w:rPr>
      </w:pPr>
      <w:proofErr w:type="spellStart"/>
      <w:r w:rsidRPr="00606BC6">
        <w:rPr>
          <w:rFonts w:ascii="Times New Roman" w:hAnsi="Times New Roman" w:cs="Times New Roman" w:hint="eastAsia"/>
          <w:vertAlign w:val="superscript"/>
        </w:rPr>
        <w:t>a</w:t>
      </w:r>
      <w:r>
        <w:rPr>
          <w:rFonts w:ascii="Times New Roman" w:hAnsi="Times New Roman" w:cs="Times New Roman" w:hint="eastAsia"/>
        </w:rPr>
        <w:t>Others</w:t>
      </w:r>
      <w:proofErr w:type="spellEnd"/>
      <w:r>
        <w:rPr>
          <w:rFonts w:ascii="Times New Roman" w:hAnsi="Times New Roman" w:cs="Times New Roman" w:hint="eastAsia"/>
        </w:rPr>
        <w:t xml:space="preserve"> includes chemoresistance-PR and refractory </w:t>
      </w:r>
      <w:r>
        <w:rPr>
          <w:rFonts w:ascii="Times New Roman" w:hAnsi="Times New Roman" w:cs="Times New Roman"/>
        </w:rPr>
        <w:t>disease and</w:t>
      </w:r>
      <w:r>
        <w:rPr>
          <w:rFonts w:ascii="Times New Roman" w:hAnsi="Times New Roman" w:cs="Times New Roman" w:hint="eastAsia"/>
        </w:rPr>
        <w:t xml:space="preserve"> were combined due to the small sample size.</w:t>
      </w:r>
    </w:p>
    <w:p w14:paraId="755EA423" w14:textId="21F341FE" w:rsidR="009042B1" w:rsidRPr="00A82512" w:rsidRDefault="009042B1" w:rsidP="009042B1">
      <w:pPr>
        <w:rPr>
          <w:rFonts w:ascii="Times New Roman" w:hAnsi="Times New Roman" w:cs="Times New Roman"/>
        </w:rPr>
      </w:pPr>
      <w:r w:rsidRPr="00A82512">
        <w:rPr>
          <w:rFonts w:ascii="Times New Roman" w:hAnsi="Times New Roman" w:cs="Times New Roman"/>
        </w:rPr>
        <w:t xml:space="preserve">Abbreviations: </w:t>
      </w:r>
      <w:r w:rsidRPr="00A82512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 xml:space="preserve">BV: brentuximab </w:t>
      </w:r>
      <w:proofErr w:type="spellStart"/>
      <w:r w:rsidRPr="00A82512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>vedotin</w:t>
      </w:r>
      <w:proofErr w:type="spellEnd"/>
      <w:r w:rsidRPr="00A82512">
        <w:rPr>
          <w:rFonts w:ascii="Times New Roman" w:eastAsia="新細明體" w:hAnsi="Times New Roman" w:cs="Times New Roman"/>
          <w:color w:val="000000"/>
          <w:kern w:val="0"/>
          <w:sz w:val="22"/>
          <w:szCs w:val="22"/>
          <w14:ligatures w14:val="none"/>
        </w:rPr>
        <w:t xml:space="preserve">; CCI: Charlson comorbidity index; </w:t>
      </w:r>
      <w:r w:rsidRPr="004B158C">
        <w:rPr>
          <w:rFonts w:ascii="Times New Roman" w:eastAsia="新細明體" w:hAnsi="Times New Roman" w:cs="Times New Roman"/>
          <w:color w:val="000000"/>
          <w:kern w:val="0"/>
          <w14:ligatures w14:val="none"/>
        </w:rPr>
        <w:t>CR</w:t>
      </w:r>
      <w:r w:rsidRPr="00A82512">
        <w:rPr>
          <w:rFonts w:ascii="Times New Roman" w:eastAsia="新細明體" w:hAnsi="Times New Roman" w:cs="Times New Roman"/>
          <w:color w:val="000000"/>
          <w:kern w:val="0"/>
          <w14:ligatures w14:val="none"/>
        </w:rPr>
        <w:t xml:space="preserve">: complete response; </w:t>
      </w:r>
      <w:r w:rsidRPr="00A82512">
        <w:rPr>
          <w:rFonts w:ascii="Times New Roman" w:hAnsi="Times New Roman" w:cs="Times New Roman"/>
        </w:rPr>
        <w:t xml:space="preserve">EFI: early failure of induction; </w:t>
      </w:r>
      <w:r w:rsidRPr="00A82512">
        <w:rPr>
          <w:rFonts w:ascii="Times New Roman" w:eastAsia="新細明體" w:hAnsi="Times New Roman" w:cs="Times New Roman"/>
          <w:color w:val="000000"/>
          <w:kern w:val="0"/>
          <w14:ligatures w14:val="none"/>
        </w:rPr>
        <w:t xml:space="preserve">IPS: International prognostic score; IPTW: inverse probability of treatment weighting; PR: partial response; PSM: propensity score matching; </w:t>
      </w:r>
      <w:r w:rsidRPr="00A82512">
        <w:rPr>
          <w:rFonts w:ascii="Times New Roman" w:hAnsi="Times New Roman" w:cs="Times New Roman"/>
        </w:rPr>
        <w:t>SMD: standardized mean difference.</w:t>
      </w:r>
    </w:p>
    <w:p w14:paraId="6F47854A" w14:textId="2F65434D" w:rsidR="009042B1" w:rsidRDefault="009042B1">
      <w:pPr>
        <w:widowControl/>
        <w:rPr>
          <w:rFonts w:ascii="Times New Roman" w:hAnsi="Times New Roman" w:cs="Times New Roman"/>
        </w:rPr>
      </w:pPr>
    </w:p>
    <w:sectPr w:rsidR="009042B1" w:rsidSect="00B108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3E34" w14:textId="77777777" w:rsidR="00AD3F6F" w:rsidRDefault="00AD3F6F" w:rsidP="00F22923">
      <w:pPr>
        <w:spacing w:after="0" w:line="240" w:lineRule="auto"/>
      </w:pPr>
      <w:r>
        <w:separator/>
      </w:r>
    </w:p>
  </w:endnote>
  <w:endnote w:type="continuationSeparator" w:id="0">
    <w:p w14:paraId="6E54AFD9" w14:textId="77777777" w:rsidR="00AD3F6F" w:rsidRDefault="00AD3F6F" w:rsidP="00F2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3E40" w14:textId="77777777" w:rsidR="00AD3F6F" w:rsidRDefault="00AD3F6F" w:rsidP="00F22923">
      <w:pPr>
        <w:spacing w:after="0" w:line="240" w:lineRule="auto"/>
      </w:pPr>
      <w:r>
        <w:separator/>
      </w:r>
    </w:p>
  </w:footnote>
  <w:footnote w:type="continuationSeparator" w:id="0">
    <w:p w14:paraId="1E97DBDA" w14:textId="77777777" w:rsidR="00AD3F6F" w:rsidRDefault="00AD3F6F" w:rsidP="00F22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9A"/>
    <w:rsid w:val="00122B71"/>
    <w:rsid w:val="00141D15"/>
    <w:rsid w:val="00193DF1"/>
    <w:rsid w:val="003355DA"/>
    <w:rsid w:val="003B0FAD"/>
    <w:rsid w:val="003D5825"/>
    <w:rsid w:val="00475D5C"/>
    <w:rsid w:val="004B158C"/>
    <w:rsid w:val="004E20D3"/>
    <w:rsid w:val="00581A9C"/>
    <w:rsid w:val="005978EF"/>
    <w:rsid w:val="005C1A3A"/>
    <w:rsid w:val="005E5889"/>
    <w:rsid w:val="00606BC6"/>
    <w:rsid w:val="006615AD"/>
    <w:rsid w:val="00665C03"/>
    <w:rsid w:val="00676944"/>
    <w:rsid w:val="006F7331"/>
    <w:rsid w:val="0077323B"/>
    <w:rsid w:val="00781A45"/>
    <w:rsid w:val="007C6EF2"/>
    <w:rsid w:val="009042B1"/>
    <w:rsid w:val="009A0809"/>
    <w:rsid w:val="009D1AE0"/>
    <w:rsid w:val="009F5F35"/>
    <w:rsid w:val="00A4010C"/>
    <w:rsid w:val="00A82512"/>
    <w:rsid w:val="00A92DCF"/>
    <w:rsid w:val="00AD3F6F"/>
    <w:rsid w:val="00B00D6B"/>
    <w:rsid w:val="00B1088C"/>
    <w:rsid w:val="00B462BE"/>
    <w:rsid w:val="00C17534"/>
    <w:rsid w:val="00C3764C"/>
    <w:rsid w:val="00C71877"/>
    <w:rsid w:val="00C940D1"/>
    <w:rsid w:val="00CD375F"/>
    <w:rsid w:val="00CF132F"/>
    <w:rsid w:val="00DC2E9A"/>
    <w:rsid w:val="00E06A7A"/>
    <w:rsid w:val="00EA7119"/>
    <w:rsid w:val="00EB3F15"/>
    <w:rsid w:val="00EE3D16"/>
    <w:rsid w:val="00F22923"/>
    <w:rsid w:val="00F55A8E"/>
    <w:rsid w:val="00FA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871C5"/>
  <w15:chartTrackingRefBased/>
  <w15:docId w15:val="{9C072793-2F4D-40CD-9576-F5C2104A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75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E9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E9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E9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E9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E9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E9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樣式2"/>
    <w:basedOn w:val="a"/>
    <w:link w:val="22"/>
    <w:qFormat/>
    <w:rsid w:val="004E20D3"/>
    <w:pPr>
      <w:widowControl/>
      <w:spacing w:after="0" w:line="480" w:lineRule="auto"/>
    </w:pPr>
    <w:rPr>
      <w:rFonts w:ascii="Times New Roman" w:eastAsia="Times New Roman" w:hAnsi="Times New Roman" w:cs="Times New Roman"/>
    </w:rPr>
  </w:style>
  <w:style w:type="character" w:customStyle="1" w:styleId="22">
    <w:name w:val="樣式2 字元"/>
    <w:basedOn w:val="a0"/>
    <w:link w:val="21"/>
    <w:rsid w:val="004E20D3"/>
    <w:rPr>
      <w:rFonts w:ascii="Times New Roman" w:eastAsia="Times New Roman" w:hAnsi="Times New Roman" w:cs="Times New Roman"/>
    </w:rPr>
  </w:style>
  <w:style w:type="paragraph" w:customStyle="1" w:styleId="11">
    <w:name w:val="標題1"/>
    <w:basedOn w:val="21"/>
    <w:link w:val="Title"/>
    <w:qFormat/>
    <w:rsid w:val="004E20D3"/>
    <w:pPr>
      <w:jc w:val="center"/>
    </w:pPr>
    <w:rPr>
      <w:b/>
      <w:bCs/>
      <w:sz w:val="28"/>
      <w:szCs w:val="28"/>
    </w:rPr>
  </w:style>
  <w:style w:type="character" w:customStyle="1" w:styleId="Title">
    <w:name w:val="Title 字元"/>
    <w:basedOn w:val="22"/>
    <w:link w:val="11"/>
    <w:rsid w:val="004E20D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">
    <w:name w:val="Body"/>
    <w:basedOn w:val="a"/>
    <w:link w:val="Body0"/>
    <w:qFormat/>
    <w:rsid w:val="00C3764C"/>
    <w:pPr>
      <w:widowControl/>
      <w:spacing w:after="0" w:line="276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0">
    <w:name w:val="Body 字元"/>
    <w:basedOn w:val="a0"/>
    <w:link w:val="Body"/>
    <w:rsid w:val="00C3764C"/>
    <w:rPr>
      <w:rFonts w:ascii="Times New Roman" w:eastAsia="Times New Roman" w:hAnsi="Times New Roman" w:cs="Times New Roman"/>
      <w:b/>
      <w:bCs/>
    </w:rPr>
  </w:style>
  <w:style w:type="character" w:customStyle="1" w:styleId="10">
    <w:name w:val="標題 1 字元"/>
    <w:basedOn w:val="a0"/>
    <w:link w:val="1"/>
    <w:uiPriority w:val="9"/>
    <w:rsid w:val="00DC2E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C2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C2E9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C2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C2E9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C2E9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C2E9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C2E9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C2E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C2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C2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C2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E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C2E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2E9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2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2292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22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22923"/>
    <w:rPr>
      <w:sz w:val="20"/>
      <w:szCs w:val="20"/>
    </w:rPr>
  </w:style>
  <w:style w:type="table" w:styleId="41">
    <w:name w:val="Plain Table 4"/>
    <w:basedOn w:val="a1"/>
    <w:uiPriority w:val="44"/>
    <w:rsid w:val="004B15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2">
    <w:name w:val="Hyperlink"/>
    <w:basedOn w:val="a0"/>
    <w:uiPriority w:val="99"/>
    <w:unhideWhenUsed/>
    <w:rsid w:val="004B158C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B158C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A8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606BC6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606BC6"/>
  </w:style>
  <w:style w:type="character" w:customStyle="1" w:styleId="af7">
    <w:name w:val="註解文字 字元"/>
    <w:basedOn w:val="a0"/>
    <w:link w:val="af6"/>
    <w:uiPriority w:val="99"/>
    <w:rsid w:val="00606BC6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06BC6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606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2744</TotalTime>
  <Pages>4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 Chang</dc:creator>
  <cp:keywords/>
  <dc:description/>
  <cp:lastModifiedBy>Joyce Hsieh</cp:lastModifiedBy>
  <cp:revision>24</cp:revision>
  <dcterms:created xsi:type="dcterms:W3CDTF">2025-01-29T09:55:00Z</dcterms:created>
  <dcterms:modified xsi:type="dcterms:W3CDTF">2025-06-08T07:15:00Z</dcterms:modified>
</cp:coreProperties>
</file>