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6EB46">
      <w:pPr>
        <w:pStyle w:val="5"/>
        <w:spacing w:before="0" w:line="360" w:lineRule="auto"/>
        <w:ind w:firstLine="0"/>
        <w:rPr>
          <w:rFonts w:eastAsiaTheme="minorEastAsia"/>
          <w:b/>
          <w:lang w:eastAsia="zh-CN"/>
        </w:rPr>
      </w:pPr>
      <w:bookmarkStart w:id="2" w:name="_GoBack"/>
      <w:bookmarkStart w:id="0" w:name="OLE_LINK3"/>
      <w:r>
        <w:rPr>
          <w:b/>
        </w:rPr>
        <w:t>List of Supplementary Materials</w:t>
      </w:r>
    </w:p>
    <w:bookmarkEnd w:id="2"/>
    <w:p w14:paraId="565327B2">
      <w:pPr>
        <w:pStyle w:val="5"/>
        <w:spacing w:before="0" w:line="360" w:lineRule="auto"/>
        <w:ind w:firstLine="0"/>
      </w:pPr>
      <w:r>
        <w:t>Fig. S1. Nanobody-161 did not bind to other TNFR superfamily members.</w:t>
      </w:r>
    </w:p>
    <w:p w14:paraId="3092D2E7">
      <w:pPr>
        <w:pStyle w:val="5"/>
        <w:spacing w:before="0" w:line="360" w:lineRule="auto"/>
        <w:ind w:firstLine="0"/>
        <w:rPr>
          <w:rFonts w:eastAsiaTheme="minorEastAsia"/>
          <w:lang w:eastAsia="zh-CN"/>
        </w:rPr>
      </w:pPr>
      <w:r>
        <w:t>Fig. S2.</w:t>
      </w:r>
      <w:r>
        <w:rPr>
          <w:rFonts w:eastAsiaTheme="minorEastAsia"/>
          <w:lang w:eastAsia="zh-CN"/>
        </w:rPr>
        <w:t xml:space="preserve"> Characterization of clinical antibodies targeting TNFR2 in binding and competitive binding assays.</w:t>
      </w:r>
    </w:p>
    <w:p w14:paraId="52DA334F">
      <w:pPr>
        <w:pStyle w:val="5"/>
        <w:spacing w:before="0" w:line="360" w:lineRule="auto"/>
        <w:ind w:firstLine="0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Table S1. Survival rates in MC38 xenograft humanized TNFR2 mice model.</w:t>
      </w:r>
    </w:p>
    <w:p w14:paraId="22B84CC3">
      <w:pPr>
        <w:pStyle w:val="5"/>
        <w:spacing w:before="0" w:line="360" w:lineRule="auto"/>
        <w:ind w:firstLine="0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Table S2. Key interactions involved in TNFR2-Nanobody-161 complex.</w:t>
      </w:r>
    </w:p>
    <w:p w14:paraId="19599516">
      <w:pPr>
        <w:pStyle w:val="5"/>
        <w:spacing w:before="0" w:line="360" w:lineRule="auto"/>
        <w:ind w:firstLine="0"/>
        <w:rPr>
          <w:sz w:val="24"/>
          <w:szCs w:val="24"/>
        </w:rPr>
      </w:pPr>
      <w:r>
        <w:rPr>
          <w:rFonts w:eastAsiaTheme="minorEastAsia"/>
          <w:lang w:eastAsia="zh-CN"/>
        </w:rPr>
        <w:t>Table S3. Summary of the binding affinity constant (KD) of Nanobody-161 WT and mutants interacting with TNFR2-His.</w:t>
      </w:r>
      <w:bookmarkEnd w:id="0"/>
    </w:p>
    <w:p w14:paraId="4A09D38C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7147329D">
      <w:pPr>
        <w:spacing w:line="360" w:lineRule="auto"/>
        <w:jc w:val="both"/>
        <w:rPr>
          <w:b/>
          <w:bCs/>
          <w:sz w:val="24"/>
          <w:szCs w:val="24"/>
          <w:lang w:eastAsia="zh-CN"/>
        </w:rPr>
      </w:pPr>
      <w:bookmarkStart w:id="1" w:name="_Hlk191650800"/>
      <w:r>
        <w:drawing>
          <wp:inline distT="0" distB="0" distL="0" distR="0">
            <wp:extent cx="5943600" cy="6517005"/>
            <wp:effectExtent l="0" t="0" r="0" b="5715"/>
            <wp:docPr id="17256029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602934" name="图片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1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841CD">
      <w:p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Fig. S1. Nanobody-161 did not bind to other TNFR superfamily members. </w:t>
      </w:r>
    </w:p>
    <w:p w14:paraId="32DAAF1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(A)</w:t>
      </w:r>
      <w:r>
        <w:rPr>
          <w:sz w:val="24"/>
          <w:szCs w:val="24"/>
        </w:rPr>
        <w:t xml:space="preserve"> Binding of Nanobody-161 to human CD27 by ELISA.</w:t>
      </w:r>
      <w:r>
        <w:rPr>
          <w:b/>
          <w:bCs/>
          <w:sz w:val="24"/>
          <w:szCs w:val="24"/>
        </w:rPr>
        <w:t xml:space="preserve"> (B)</w:t>
      </w:r>
      <w:r>
        <w:rPr>
          <w:sz w:val="24"/>
          <w:szCs w:val="24"/>
        </w:rPr>
        <w:t xml:space="preserve"> Binding of Nanobody-161 to human GITR by ELISA.</w:t>
      </w:r>
      <w:r>
        <w:rPr>
          <w:b/>
          <w:bCs/>
          <w:sz w:val="24"/>
          <w:szCs w:val="24"/>
        </w:rPr>
        <w:t xml:space="preserve"> (C)</w:t>
      </w:r>
      <w:r>
        <w:rPr>
          <w:sz w:val="24"/>
          <w:szCs w:val="24"/>
        </w:rPr>
        <w:t xml:space="preserve"> Binding of Nanobody-161 to human 4-1BB by ELISA.</w:t>
      </w:r>
      <w:r>
        <w:rPr>
          <w:b/>
          <w:bCs/>
          <w:sz w:val="24"/>
          <w:szCs w:val="24"/>
        </w:rPr>
        <w:t xml:space="preserve"> (D)</w:t>
      </w:r>
      <w:r>
        <w:rPr>
          <w:sz w:val="24"/>
          <w:szCs w:val="24"/>
        </w:rPr>
        <w:t xml:space="preserve"> Binding of Nanobody-161 to human OX40 by ELISA.</w:t>
      </w:r>
      <w:r>
        <w:rPr>
          <w:b/>
          <w:bCs/>
          <w:sz w:val="24"/>
          <w:szCs w:val="24"/>
        </w:rPr>
        <w:t xml:space="preserve"> (E)</w:t>
      </w:r>
      <w:r>
        <w:rPr>
          <w:sz w:val="24"/>
          <w:szCs w:val="24"/>
        </w:rPr>
        <w:t xml:space="preserve"> Binding of Nanobody-161 to human CD40 by ELISA.</w:t>
      </w:r>
      <w:r>
        <w:rPr>
          <w:b/>
          <w:bCs/>
          <w:sz w:val="24"/>
          <w:szCs w:val="24"/>
        </w:rPr>
        <w:t xml:space="preserve"> (F)</w:t>
      </w:r>
      <w:r>
        <w:rPr>
          <w:sz w:val="24"/>
          <w:szCs w:val="24"/>
        </w:rPr>
        <w:t xml:space="preserve"> Binding of Nanobody-161 to human BCMA by ELISA.</w:t>
      </w:r>
      <w:r>
        <w:rPr>
          <w:b/>
          <w:bCs/>
          <w:sz w:val="24"/>
          <w:szCs w:val="24"/>
        </w:rPr>
        <w:t xml:space="preserve"> (G)</w:t>
      </w:r>
      <w:r>
        <w:rPr>
          <w:sz w:val="24"/>
          <w:szCs w:val="24"/>
        </w:rPr>
        <w:t xml:space="preserve"> Binding of Nanobody-161 to human RANK by ELISA.</w:t>
      </w:r>
      <w:r>
        <w:rPr>
          <w:b/>
          <w:bCs/>
          <w:sz w:val="24"/>
          <w:szCs w:val="24"/>
        </w:rPr>
        <w:t xml:space="preserve"> (H)</w:t>
      </w:r>
      <w:r>
        <w:rPr>
          <w:sz w:val="24"/>
          <w:szCs w:val="24"/>
        </w:rPr>
        <w:t xml:space="preserve"> Binding of Nanobody-161 to human DR3 by ELISA.</w:t>
      </w:r>
    </w:p>
    <w:p w14:paraId="74B3B0AD">
      <w:pPr>
        <w:spacing w:line="360" w:lineRule="auto"/>
        <w:jc w:val="both"/>
        <w:rPr>
          <w:b/>
          <w:bCs/>
          <w:sz w:val="24"/>
          <w:szCs w:val="24"/>
        </w:rPr>
      </w:pPr>
      <w:r>
        <w:drawing>
          <wp:inline distT="0" distB="0" distL="0" distR="0">
            <wp:extent cx="5943600" cy="1989455"/>
            <wp:effectExtent l="0" t="0" r="0" b="6985"/>
            <wp:docPr id="13433174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31742" name="图片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8357A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Fig. S2.</w:t>
      </w:r>
      <w:r>
        <w:rPr>
          <w:b/>
          <w:bCs/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</w:rPr>
        <w:t>Characterization of clinical antibodies targeting TNFR</w:t>
      </w:r>
      <w:r>
        <w:rPr>
          <w:b/>
          <w:sz w:val="24"/>
          <w:szCs w:val="24"/>
          <w:lang w:eastAsia="zh-CN"/>
        </w:rPr>
        <w:t>2</w:t>
      </w:r>
      <w:r>
        <w:rPr>
          <w:b/>
          <w:sz w:val="24"/>
          <w:szCs w:val="24"/>
        </w:rPr>
        <w:t xml:space="preserve"> in binding and competitive binding assays. </w:t>
      </w:r>
      <w:r>
        <w:rPr>
          <w:bCs/>
          <w:sz w:val="24"/>
          <w:szCs w:val="24"/>
        </w:rPr>
        <w:t>(</w:t>
      </w:r>
      <w:r>
        <w:rPr>
          <w:bCs/>
          <w:sz w:val="24"/>
          <w:szCs w:val="24"/>
          <w:lang w:eastAsia="zh-CN"/>
        </w:rPr>
        <w:t>A</w:t>
      </w:r>
      <w:r>
        <w:rPr>
          <w:bCs/>
          <w:sz w:val="24"/>
          <w:szCs w:val="24"/>
        </w:rPr>
        <w:t>) Binding of clinical antibodies targeting TNFR2 to human TNFR2 overexpressing HEK293 cells by FACS. (</w:t>
      </w:r>
      <w:r>
        <w:rPr>
          <w:bCs/>
          <w:sz w:val="24"/>
          <w:szCs w:val="24"/>
          <w:lang w:eastAsia="zh-CN"/>
        </w:rPr>
        <w:t>B</w:t>
      </w:r>
      <w:r>
        <w:rPr>
          <w:bCs/>
          <w:sz w:val="24"/>
          <w:szCs w:val="24"/>
        </w:rPr>
        <w:t>) Competitive inhibition assay of clinical antibodies targeting TNFR2 to block the binding between TNFα and human TNFR2 overexpressing HEK293 cells.</w:t>
      </w:r>
    </w:p>
    <w:p w14:paraId="4719CDA9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113B06E1">
      <w:pPr>
        <w:spacing w:line="360" w:lineRule="auto"/>
        <w:jc w:val="both"/>
        <w:rPr>
          <w:b/>
          <w:bCs/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>Table</w:t>
      </w:r>
      <w:r>
        <w:rPr>
          <w:b/>
          <w:bCs/>
          <w:sz w:val="24"/>
          <w:szCs w:val="24"/>
        </w:rPr>
        <w:t xml:space="preserve"> S</w:t>
      </w:r>
      <w:r>
        <w:rPr>
          <w:b/>
          <w:bCs/>
          <w:sz w:val="24"/>
          <w:szCs w:val="24"/>
          <w:lang w:eastAsia="zh-CN"/>
        </w:rPr>
        <w:t>1</w:t>
      </w:r>
      <w:r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  <w:lang w:eastAsia="zh-CN"/>
        </w:rPr>
        <w:t xml:space="preserve"> </w:t>
      </w:r>
      <w:r>
        <w:rPr>
          <w:b/>
          <w:bCs/>
          <w:sz w:val="24"/>
          <w:szCs w:val="24"/>
        </w:rPr>
        <w:t xml:space="preserve">Survival </w:t>
      </w:r>
      <w:r>
        <w:rPr>
          <w:b/>
          <w:bCs/>
          <w:sz w:val="24"/>
          <w:szCs w:val="24"/>
          <w:lang w:eastAsia="zh-CN"/>
        </w:rPr>
        <w:t>rate</w:t>
      </w:r>
      <w:r>
        <w:rPr>
          <w:b/>
          <w:bCs/>
          <w:sz w:val="24"/>
          <w:szCs w:val="24"/>
        </w:rPr>
        <w:t xml:space="preserve">s </w:t>
      </w:r>
      <w:r>
        <w:rPr>
          <w:b/>
          <w:bCs/>
          <w:sz w:val="24"/>
          <w:szCs w:val="24"/>
          <w:lang w:eastAsia="zh-CN"/>
        </w:rPr>
        <w:t xml:space="preserve">in MC38 xenograft humanized TNFR2 </w:t>
      </w:r>
      <w:r>
        <w:rPr>
          <w:b/>
          <w:bCs/>
          <w:sz w:val="24"/>
          <w:szCs w:val="24"/>
        </w:rPr>
        <w:t>mice</w:t>
      </w:r>
      <w:r>
        <w:rPr>
          <w:b/>
          <w:bCs/>
          <w:sz w:val="24"/>
          <w:szCs w:val="24"/>
          <w:lang w:eastAsia="zh-CN"/>
        </w:rPr>
        <w:t xml:space="preserve"> model</w:t>
      </w:r>
      <w:r>
        <w:rPr>
          <w:b/>
          <w:bCs/>
          <w:sz w:val="24"/>
          <w:szCs w:val="24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2"/>
        <w:gridCol w:w="1050"/>
        <w:gridCol w:w="1050"/>
        <w:gridCol w:w="1050"/>
        <w:gridCol w:w="1050"/>
        <w:gridCol w:w="1050"/>
        <w:gridCol w:w="1050"/>
      </w:tblGrid>
      <w:tr w14:paraId="0FC2A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05" w:type="dxa"/>
            <w:vMerge w:val="restart"/>
            <w:vAlign w:val="center"/>
          </w:tcPr>
          <w:p w14:paraId="484B7F5C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Group</w:t>
            </w:r>
          </w:p>
        </w:tc>
        <w:tc>
          <w:tcPr>
            <w:tcW w:w="6945" w:type="dxa"/>
            <w:gridSpan w:val="6"/>
            <w:vAlign w:val="center"/>
          </w:tcPr>
          <w:p w14:paraId="0F1CC226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lang w:eastAsia="zh-CN"/>
              </w:rPr>
              <w:t>Percent survival (%)</w:t>
            </w:r>
          </w:p>
        </w:tc>
      </w:tr>
      <w:tr w14:paraId="2D350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05" w:type="dxa"/>
            <w:vMerge w:val="continue"/>
            <w:vAlign w:val="center"/>
          </w:tcPr>
          <w:p w14:paraId="5591CDBA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</w:p>
        </w:tc>
        <w:tc>
          <w:tcPr>
            <w:tcW w:w="1157" w:type="dxa"/>
            <w:vAlign w:val="center"/>
          </w:tcPr>
          <w:p w14:paraId="793E9F0D">
            <w:pPr>
              <w:spacing w:line="360" w:lineRule="auto"/>
              <w:jc w:val="center"/>
              <w:rPr>
                <w:b/>
                <w:bCs/>
                <w:lang w:eastAsia="zh-CN"/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D17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(N)</w:t>
            </w:r>
          </w:p>
        </w:tc>
        <w:tc>
          <w:tcPr>
            <w:tcW w:w="1158" w:type="dxa"/>
            <w:vAlign w:val="center"/>
          </w:tcPr>
          <w:p w14:paraId="66D1D15F">
            <w:pPr>
              <w:spacing w:line="360" w:lineRule="auto"/>
              <w:jc w:val="center"/>
              <w:rPr>
                <w:b/>
                <w:bCs/>
                <w:lang w:eastAsia="zh-CN"/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D21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(N)</w:t>
            </w:r>
          </w:p>
        </w:tc>
        <w:tc>
          <w:tcPr>
            <w:tcW w:w="1157" w:type="dxa"/>
            <w:vAlign w:val="center"/>
          </w:tcPr>
          <w:p w14:paraId="0C6B4724">
            <w:pPr>
              <w:spacing w:line="360" w:lineRule="auto"/>
              <w:jc w:val="center"/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D24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(N)</w:t>
            </w:r>
          </w:p>
        </w:tc>
        <w:tc>
          <w:tcPr>
            <w:tcW w:w="1158" w:type="dxa"/>
          </w:tcPr>
          <w:p w14:paraId="30A3F181">
            <w:pPr>
              <w:spacing w:line="360" w:lineRule="auto"/>
              <w:jc w:val="center"/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D28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(N)</w:t>
            </w:r>
          </w:p>
        </w:tc>
        <w:tc>
          <w:tcPr>
            <w:tcW w:w="1157" w:type="dxa"/>
          </w:tcPr>
          <w:p w14:paraId="172965C8">
            <w:pPr>
              <w:spacing w:line="360" w:lineRule="auto"/>
              <w:jc w:val="center"/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D31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(N)</w:t>
            </w:r>
          </w:p>
        </w:tc>
        <w:tc>
          <w:tcPr>
            <w:tcW w:w="1158" w:type="dxa"/>
          </w:tcPr>
          <w:p w14:paraId="62890937">
            <w:pPr>
              <w:spacing w:line="360" w:lineRule="auto"/>
              <w:jc w:val="center"/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D35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(N)</w:t>
            </w:r>
          </w:p>
        </w:tc>
      </w:tr>
      <w:tr w14:paraId="71225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405" w:type="dxa"/>
            <w:vAlign w:val="center"/>
          </w:tcPr>
          <w:p w14:paraId="047D3251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Nanobody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161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7.5mpk</w:t>
            </w:r>
          </w:p>
        </w:tc>
        <w:tc>
          <w:tcPr>
            <w:tcW w:w="1157" w:type="dxa"/>
            <w:vAlign w:val="center"/>
          </w:tcPr>
          <w:p w14:paraId="60BCD1F7">
            <w:pPr>
              <w:spacing w:line="360" w:lineRule="auto"/>
              <w:jc w:val="center"/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3FEDD09D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7" w:type="dxa"/>
            <w:vAlign w:val="center"/>
          </w:tcPr>
          <w:p w14:paraId="713F136D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83 (5/6)</w:t>
            </w:r>
          </w:p>
        </w:tc>
        <w:tc>
          <w:tcPr>
            <w:tcW w:w="1158" w:type="dxa"/>
            <w:vAlign w:val="center"/>
          </w:tcPr>
          <w:p w14:paraId="3568B95E">
            <w:pPr>
              <w:spacing w:line="360" w:lineRule="auto"/>
              <w:jc w:val="center"/>
              <w:rPr>
                <w:color w:val="000000" w:themeColor="text1"/>
                <w:kern w:val="24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67 (4/6)</w:t>
            </w:r>
          </w:p>
        </w:tc>
        <w:tc>
          <w:tcPr>
            <w:tcW w:w="1157" w:type="dxa"/>
            <w:vAlign w:val="center"/>
          </w:tcPr>
          <w:p w14:paraId="29094E55">
            <w:pPr>
              <w:spacing w:line="360" w:lineRule="auto"/>
              <w:jc w:val="center"/>
              <w:rPr>
                <w:color w:val="000000" w:themeColor="text1"/>
                <w:kern w:val="24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67 (4/6)</w:t>
            </w:r>
          </w:p>
        </w:tc>
        <w:tc>
          <w:tcPr>
            <w:tcW w:w="1158" w:type="dxa"/>
            <w:vAlign w:val="center"/>
          </w:tcPr>
          <w:p w14:paraId="68AB7714">
            <w:pPr>
              <w:spacing w:line="360" w:lineRule="auto"/>
              <w:jc w:val="center"/>
              <w:rPr>
                <w:color w:val="000000" w:themeColor="text1"/>
                <w:kern w:val="24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67 (4/6)</w:t>
            </w:r>
          </w:p>
        </w:tc>
      </w:tr>
      <w:tr w14:paraId="5EA3A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405" w:type="dxa"/>
            <w:vAlign w:val="center"/>
          </w:tcPr>
          <w:p w14:paraId="30CE5D2C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Nanobody-161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2.5mpk</w:t>
            </w:r>
          </w:p>
        </w:tc>
        <w:tc>
          <w:tcPr>
            <w:tcW w:w="1157" w:type="dxa"/>
            <w:vAlign w:val="center"/>
          </w:tcPr>
          <w:p w14:paraId="28A33575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0D6D838B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7" w:type="dxa"/>
            <w:vAlign w:val="center"/>
          </w:tcPr>
          <w:p w14:paraId="64A643C4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7F6F8779">
            <w:pPr>
              <w:spacing w:line="360" w:lineRule="auto"/>
              <w:jc w:val="center"/>
              <w:rPr>
                <w:color w:val="000000" w:themeColor="text1"/>
                <w:kern w:val="24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7" w:type="dxa"/>
            <w:vAlign w:val="center"/>
          </w:tcPr>
          <w:p w14:paraId="4AB6B86D">
            <w:pPr>
              <w:spacing w:line="360" w:lineRule="auto"/>
              <w:jc w:val="center"/>
              <w:rPr>
                <w:color w:val="000000" w:themeColor="text1"/>
                <w:kern w:val="24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5848A800">
            <w:pPr>
              <w:spacing w:line="360" w:lineRule="auto"/>
              <w:jc w:val="center"/>
              <w:rPr>
                <w:color w:val="000000" w:themeColor="text1"/>
                <w:kern w:val="24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</w:tr>
      <w:tr w14:paraId="0E4AD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405" w:type="dxa"/>
            <w:vAlign w:val="center"/>
          </w:tcPr>
          <w:p w14:paraId="53271C1C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Nanobody-161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0.5mpk</w:t>
            </w:r>
          </w:p>
        </w:tc>
        <w:tc>
          <w:tcPr>
            <w:tcW w:w="1157" w:type="dxa"/>
            <w:vAlign w:val="center"/>
          </w:tcPr>
          <w:p w14:paraId="15FC8FF7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7A0CD3EC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7" w:type="dxa"/>
            <w:vAlign w:val="center"/>
          </w:tcPr>
          <w:p w14:paraId="5C7764D6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17111D53">
            <w:pPr>
              <w:spacing w:line="360" w:lineRule="auto"/>
              <w:jc w:val="center"/>
              <w:rPr>
                <w:color w:val="000000" w:themeColor="text1"/>
                <w:kern w:val="24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7" w:type="dxa"/>
            <w:vAlign w:val="center"/>
          </w:tcPr>
          <w:p w14:paraId="29255A6D">
            <w:pPr>
              <w:spacing w:line="360" w:lineRule="auto"/>
              <w:jc w:val="center"/>
              <w:rPr>
                <w:color w:val="000000" w:themeColor="text1"/>
                <w:kern w:val="24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31C515C4">
            <w:pPr>
              <w:spacing w:line="360" w:lineRule="auto"/>
              <w:jc w:val="center"/>
              <w:rPr>
                <w:color w:val="000000" w:themeColor="text1"/>
                <w:kern w:val="24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</w:tr>
      <w:tr w14:paraId="7C293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405" w:type="dxa"/>
            <w:vAlign w:val="center"/>
          </w:tcPr>
          <w:p w14:paraId="1996A729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OPI-SBT002e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14.42mpk</w:t>
            </w:r>
          </w:p>
        </w:tc>
        <w:tc>
          <w:tcPr>
            <w:tcW w:w="1157" w:type="dxa"/>
            <w:vAlign w:val="center"/>
          </w:tcPr>
          <w:p w14:paraId="11B1FACE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19C99FB9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7" w:type="dxa"/>
            <w:vAlign w:val="center"/>
          </w:tcPr>
          <w:p w14:paraId="34BA574B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5C83581D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7" w:type="dxa"/>
            <w:vAlign w:val="center"/>
          </w:tcPr>
          <w:p w14:paraId="67DA3538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51A5A2C1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</w:tr>
      <w:tr w14:paraId="51F7B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405" w:type="dxa"/>
            <w:vAlign w:val="center"/>
          </w:tcPr>
          <w:p w14:paraId="6E05E8D4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OPI-SBT002e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4.81mpk</w:t>
            </w:r>
          </w:p>
        </w:tc>
        <w:tc>
          <w:tcPr>
            <w:tcW w:w="1157" w:type="dxa"/>
            <w:vAlign w:val="center"/>
          </w:tcPr>
          <w:p w14:paraId="5884191C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128FC68E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7" w:type="dxa"/>
            <w:vAlign w:val="center"/>
          </w:tcPr>
          <w:p w14:paraId="026A3391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55DDD5F1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7" w:type="dxa"/>
            <w:vAlign w:val="center"/>
          </w:tcPr>
          <w:p w14:paraId="155409F9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65553D69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</w:tr>
      <w:tr w14:paraId="6F55B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405" w:type="dxa"/>
            <w:vAlign w:val="center"/>
          </w:tcPr>
          <w:p w14:paraId="4C83D5C5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OPI-SBT002e</w:t>
            </w: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0.96mpk</w:t>
            </w:r>
          </w:p>
        </w:tc>
        <w:tc>
          <w:tcPr>
            <w:tcW w:w="1157" w:type="dxa"/>
            <w:vAlign w:val="center"/>
          </w:tcPr>
          <w:p w14:paraId="302E9D06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4F1B05B3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7" w:type="dxa"/>
            <w:vAlign w:val="center"/>
          </w:tcPr>
          <w:p w14:paraId="3C50F65A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51DD4CAB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7" w:type="dxa"/>
            <w:vAlign w:val="center"/>
          </w:tcPr>
          <w:p w14:paraId="14F53D42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  <w:tc>
          <w:tcPr>
            <w:tcW w:w="1158" w:type="dxa"/>
            <w:vAlign w:val="center"/>
          </w:tcPr>
          <w:p w14:paraId="3540AC00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(6/6)</w:t>
            </w:r>
          </w:p>
        </w:tc>
      </w:tr>
      <w:tr w14:paraId="50F2D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405" w:type="dxa"/>
            <w:vAlign w:val="center"/>
          </w:tcPr>
          <w:p w14:paraId="3E8CDE99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PBS</w:t>
            </w:r>
          </w:p>
        </w:tc>
        <w:tc>
          <w:tcPr>
            <w:tcW w:w="1157" w:type="dxa"/>
            <w:vAlign w:val="center"/>
          </w:tcPr>
          <w:p w14:paraId="53E01178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(8/8)</w:t>
            </w:r>
          </w:p>
        </w:tc>
        <w:tc>
          <w:tcPr>
            <w:tcW w:w="1158" w:type="dxa"/>
            <w:vAlign w:val="center"/>
          </w:tcPr>
          <w:p w14:paraId="5082F266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(8/8)</w:t>
            </w:r>
          </w:p>
        </w:tc>
        <w:tc>
          <w:tcPr>
            <w:tcW w:w="1157" w:type="dxa"/>
            <w:vAlign w:val="center"/>
          </w:tcPr>
          <w:p w14:paraId="5B5EDA78">
            <w:pPr>
              <w:spacing w:line="360" w:lineRule="auto"/>
              <w:jc w:val="center"/>
              <w:rPr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(8/8)</w:t>
            </w:r>
          </w:p>
        </w:tc>
        <w:tc>
          <w:tcPr>
            <w:tcW w:w="1158" w:type="dxa"/>
            <w:vAlign w:val="center"/>
          </w:tcPr>
          <w:p w14:paraId="56A73D0C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(8/8)</w:t>
            </w:r>
          </w:p>
        </w:tc>
        <w:tc>
          <w:tcPr>
            <w:tcW w:w="1157" w:type="dxa"/>
            <w:vAlign w:val="center"/>
          </w:tcPr>
          <w:p w14:paraId="683BB1E6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(8/8)</w:t>
            </w:r>
          </w:p>
        </w:tc>
        <w:tc>
          <w:tcPr>
            <w:tcW w:w="1158" w:type="dxa"/>
            <w:vAlign w:val="center"/>
          </w:tcPr>
          <w:p w14:paraId="67A7062B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100 (8/8)</w:t>
            </w:r>
          </w:p>
        </w:tc>
      </w:tr>
    </w:tbl>
    <w:p w14:paraId="646E15F6">
      <w:pPr>
        <w:rPr>
          <w:b/>
          <w:bCs/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br w:type="page"/>
      </w:r>
    </w:p>
    <w:p w14:paraId="67BE86C9">
      <w:pPr>
        <w:spacing w:line="360" w:lineRule="auto"/>
        <w:jc w:val="both"/>
        <w:rPr>
          <w:b/>
          <w:bCs/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>Table</w:t>
      </w:r>
      <w:r>
        <w:rPr>
          <w:b/>
          <w:bCs/>
          <w:sz w:val="24"/>
          <w:szCs w:val="24"/>
        </w:rPr>
        <w:t xml:space="preserve"> S</w:t>
      </w:r>
      <w:r>
        <w:rPr>
          <w:b/>
          <w:bCs/>
          <w:sz w:val="24"/>
          <w:szCs w:val="24"/>
          <w:lang w:eastAsia="zh-CN"/>
        </w:rPr>
        <w:t>2</w:t>
      </w:r>
      <w:r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  <w:lang w:eastAsia="zh-CN"/>
        </w:rPr>
        <w:t xml:space="preserve"> </w:t>
      </w:r>
      <w:r>
        <w:rPr>
          <w:b/>
          <w:bCs/>
          <w:sz w:val="24"/>
          <w:szCs w:val="24"/>
        </w:rPr>
        <w:t>Key interactions involved in TNFR2-Nanobody-161 complex</w:t>
      </w:r>
      <w:r>
        <w:rPr>
          <w:sz w:val="24"/>
          <w:szCs w:val="24"/>
        </w:rPr>
        <w:t xml:space="preserve">.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837"/>
        <w:gridCol w:w="2403"/>
        <w:gridCol w:w="1466"/>
      </w:tblGrid>
      <w:tr w14:paraId="54789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379" w:type="dxa"/>
            <w:gridSpan w:val="4"/>
          </w:tcPr>
          <w:p w14:paraId="3D1CD0A2">
            <w:pPr>
              <w:spacing w:line="360" w:lineRule="auto"/>
              <w:jc w:val="center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Salt bonds</w:t>
            </w:r>
          </w:p>
        </w:tc>
      </w:tr>
      <w:tr w14:paraId="2FD7E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0431632C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No</w:t>
            </w:r>
          </w:p>
        </w:tc>
        <w:tc>
          <w:tcPr>
            <w:tcW w:w="1837" w:type="dxa"/>
          </w:tcPr>
          <w:p w14:paraId="28FBFA3C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Nanobody-161</w:t>
            </w:r>
          </w:p>
        </w:tc>
        <w:tc>
          <w:tcPr>
            <w:tcW w:w="2403" w:type="dxa"/>
          </w:tcPr>
          <w:p w14:paraId="083CE999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Distance [Å]</w:t>
            </w:r>
          </w:p>
        </w:tc>
        <w:tc>
          <w:tcPr>
            <w:tcW w:w="1465" w:type="dxa"/>
          </w:tcPr>
          <w:p w14:paraId="538B1340">
            <w:pPr>
              <w:spacing w:line="360" w:lineRule="auto"/>
              <w:jc w:val="both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TNFR2</w:t>
            </w:r>
          </w:p>
        </w:tc>
      </w:tr>
      <w:tr w14:paraId="7E4D2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673" w:type="dxa"/>
          </w:tcPr>
          <w:p w14:paraId="0D76A09F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837" w:type="dxa"/>
          </w:tcPr>
          <w:p w14:paraId="099FC9EC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R29-NH1</w:t>
            </w:r>
          </w:p>
        </w:tc>
        <w:tc>
          <w:tcPr>
            <w:tcW w:w="2403" w:type="dxa"/>
          </w:tcPr>
          <w:p w14:paraId="6DDDB0A7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3.30</w:t>
            </w:r>
          </w:p>
        </w:tc>
        <w:tc>
          <w:tcPr>
            <w:tcW w:w="1465" w:type="dxa"/>
          </w:tcPr>
          <w:p w14:paraId="5186D306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E110-OE2</w:t>
            </w:r>
          </w:p>
        </w:tc>
      </w:tr>
      <w:tr w14:paraId="2BC27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03395CD1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2</w:t>
            </w:r>
          </w:p>
        </w:tc>
        <w:tc>
          <w:tcPr>
            <w:tcW w:w="1837" w:type="dxa"/>
          </w:tcPr>
          <w:p w14:paraId="0C798BE3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R29-NH2</w:t>
            </w:r>
          </w:p>
        </w:tc>
        <w:tc>
          <w:tcPr>
            <w:tcW w:w="2403" w:type="dxa"/>
          </w:tcPr>
          <w:p w14:paraId="2A1B87C2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3.81</w:t>
            </w:r>
          </w:p>
        </w:tc>
        <w:tc>
          <w:tcPr>
            <w:tcW w:w="1465" w:type="dxa"/>
          </w:tcPr>
          <w:p w14:paraId="424A7A08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E110-OE1</w:t>
            </w:r>
          </w:p>
        </w:tc>
      </w:tr>
      <w:tr w14:paraId="22BE4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379" w:type="dxa"/>
            <w:gridSpan w:val="4"/>
          </w:tcPr>
          <w:p w14:paraId="2471EE16">
            <w:pPr>
              <w:spacing w:line="360" w:lineRule="auto"/>
              <w:jc w:val="center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Hydrophobic interactions</w:t>
            </w:r>
          </w:p>
        </w:tc>
      </w:tr>
      <w:tr w14:paraId="74036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08114493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837" w:type="dxa"/>
          </w:tcPr>
          <w:p w14:paraId="52F1B535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 xml:space="preserve">F30-CE2 </w:t>
            </w:r>
          </w:p>
        </w:tc>
        <w:tc>
          <w:tcPr>
            <w:tcW w:w="2403" w:type="dxa"/>
          </w:tcPr>
          <w:p w14:paraId="22F0435B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4.99</w:t>
            </w:r>
          </w:p>
        </w:tc>
        <w:tc>
          <w:tcPr>
            <w:tcW w:w="1465" w:type="dxa"/>
          </w:tcPr>
          <w:p w14:paraId="69985E0C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I95-CG2</w:t>
            </w:r>
          </w:p>
        </w:tc>
      </w:tr>
      <w:tr w14:paraId="6EA1B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56E4F73F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2</w:t>
            </w:r>
          </w:p>
        </w:tc>
        <w:tc>
          <w:tcPr>
            <w:tcW w:w="1837" w:type="dxa"/>
          </w:tcPr>
          <w:p w14:paraId="43DECB39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F107-CE2</w:t>
            </w:r>
          </w:p>
        </w:tc>
        <w:tc>
          <w:tcPr>
            <w:tcW w:w="2403" w:type="dxa"/>
          </w:tcPr>
          <w:p w14:paraId="7436B352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3.27</w:t>
            </w:r>
          </w:p>
        </w:tc>
        <w:tc>
          <w:tcPr>
            <w:tcW w:w="1465" w:type="dxa"/>
          </w:tcPr>
          <w:p w14:paraId="6529563D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V83-CG1</w:t>
            </w:r>
          </w:p>
        </w:tc>
      </w:tr>
      <w:tr w14:paraId="65615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673" w:type="dxa"/>
          </w:tcPr>
          <w:p w14:paraId="715093B6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</w:t>
            </w:r>
          </w:p>
        </w:tc>
        <w:tc>
          <w:tcPr>
            <w:tcW w:w="1837" w:type="dxa"/>
          </w:tcPr>
          <w:p w14:paraId="3F919F21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F107-CD2</w:t>
            </w:r>
          </w:p>
        </w:tc>
        <w:tc>
          <w:tcPr>
            <w:tcW w:w="2403" w:type="dxa"/>
          </w:tcPr>
          <w:p w14:paraId="3C36A59A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4.92</w:t>
            </w:r>
          </w:p>
        </w:tc>
        <w:tc>
          <w:tcPr>
            <w:tcW w:w="1465" w:type="dxa"/>
          </w:tcPr>
          <w:p w14:paraId="6F644F5D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P100-CD</w:t>
            </w:r>
          </w:p>
        </w:tc>
      </w:tr>
      <w:tr w14:paraId="1DFAC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379" w:type="dxa"/>
            <w:gridSpan w:val="4"/>
          </w:tcPr>
          <w:p w14:paraId="3EB23E92">
            <w:pPr>
              <w:spacing w:line="360" w:lineRule="auto"/>
              <w:jc w:val="center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Hydrogen bonds</w:t>
            </w:r>
          </w:p>
        </w:tc>
      </w:tr>
      <w:tr w14:paraId="55592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4533DBBE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1</w:t>
            </w:r>
          </w:p>
        </w:tc>
        <w:tc>
          <w:tcPr>
            <w:tcW w:w="1837" w:type="dxa"/>
          </w:tcPr>
          <w:p w14:paraId="46CB22FB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R53-NE</w:t>
            </w:r>
          </w:p>
        </w:tc>
        <w:tc>
          <w:tcPr>
            <w:tcW w:w="2403" w:type="dxa"/>
          </w:tcPr>
          <w:p w14:paraId="37C427AA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3.40</w:t>
            </w:r>
          </w:p>
        </w:tc>
        <w:tc>
          <w:tcPr>
            <w:tcW w:w="1465" w:type="dxa"/>
          </w:tcPr>
          <w:p w14:paraId="664CEFE0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E84-O</w:t>
            </w:r>
          </w:p>
        </w:tc>
      </w:tr>
      <w:tr w14:paraId="2820B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39D8754D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2</w:t>
            </w:r>
          </w:p>
        </w:tc>
        <w:tc>
          <w:tcPr>
            <w:tcW w:w="1837" w:type="dxa"/>
          </w:tcPr>
          <w:p w14:paraId="6ED562B9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S101-OG</w:t>
            </w:r>
          </w:p>
        </w:tc>
        <w:tc>
          <w:tcPr>
            <w:tcW w:w="2403" w:type="dxa"/>
          </w:tcPr>
          <w:p w14:paraId="2976E4EF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3.17</w:t>
            </w:r>
          </w:p>
        </w:tc>
        <w:tc>
          <w:tcPr>
            <w:tcW w:w="1465" w:type="dxa"/>
          </w:tcPr>
          <w:p w14:paraId="6475783B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E133-OE1</w:t>
            </w:r>
          </w:p>
        </w:tc>
      </w:tr>
      <w:tr w14:paraId="1FA8D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3D2A1597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</w:t>
            </w:r>
          </w:p>
        </w:tc>
        <w:tc>
          <w:tcPr>
            <w:tcW w:w="1837" w:type="dxa"/>
          </w:tcPr>
          <w:p w14:paraId="5FF6FCA1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Q102-N</w:t>
            </w:r>
          </w:p>
        </w:tc>
        <w:tc>
          <w:tcPr>
            <w:tcW w:w="2403" w:type="dxa"/>
          </w:tcPr>
          <w:p w14:paraId="2B6838F6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3.11</w:t>
            </w:r>
          </w:p>
        </w:tc>
        <w:tc>
          <w:tcPr>
            <w:tcW w:w="1465" w:type="dxa"/>
          </w:tcPr>
          <w:p w14:paraId="5293487B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E133-OE2</w:t>
            </w:r>
          </w:p>
        </w:tc>
      </w:tr>
      <w:tr w14:paraId="38A62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673" w:type="dxa"/>
          </w:tcPr>
          <w:p w14:paraId="5F6536E9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4</w:t>
            </w:r>
          </w:p>
        </w:tc>
        <w:tc>
          <w:tcPr>
            <w:tcW w:w="1837" w:type="dxa"/>
          </w:tcPr>
          <w:p w14:paraId="4D8267F9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L103-N</w:t>
            </w:r>
          </w:p>
        </w:tc>
        <w:tc>
          <w:tcPr>
            <w:tcW w:w="2403" w:type="dxa"/>
          </w:tcPr>
          <w:p w14:paraId="1A9D0CBE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3.56</w:t>
            </w:r>
          </w:p>
        </w:tc>
        <w:tc>
          <w:tcPr>
            <w:tcW w:w="1465" w:type="dxa"/>
          </w:tcPr>
          <w:p w14:paraId="620134B4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E133-OE1</w:t>
            </w:r>
          </w:p>
        </w:tc>
      </w:tr>
      <w:tr w14:paraId="63E95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72E2C306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5</w:t>
            </w:r>
          </w:p>
        </w:tc>
        <w:tc>
          <w:tcPr>
            <w:tcW w:w="1837" w:type="dxa"/>
          </w:tcPr>
          <w:p w14:paraId="20922FC4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G104-N</w:t>
            </w:r>
          </w:p>
        </w:tc>
        <w:tc>
          <w:tcPr>
            <w:tcW w:w="2403" w:type="dxa"/>
          </w:tcPr>
          <w:p w14:paraId="6C150633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3.74</w:t>
            </w:r>
          </w:p>
        </w:tc>
        <w:tc>
          <w:tcPr>
            <w:tcW w:w="1465" w:type="dxa"/>
          </w:tcPr>
          <w:p w14:paraId="2B56BFA4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E133-OE1</w:t>
            </w:r>
          </w:p>
        </w:tc>
      </w:tr>
      <w:tr w14:paraId="01EF8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42741C89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6</w:t>
            </w:r>
          </w:p>
        </w:tc>
        <w:tc>
          <w:tcPr>
            <w:tcW w:w="1837" w:type="dxa"/>
          </w:tcPr>
          <w:p w14:paraId="6AFA97F4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Y105-N</w:t>
            </w:r>
          </w:p>
        </w:tc>
        <w:tc>
          <w:tcPr>
            <w:tcW w:w="2403" w:type="dxa"/>
          </w:tcPr>
          <w:p w14:paraId="501579B1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3.65</w:t>
            </w:r>
          </w:p>
        </w:tc>
        <w:tc>
          <w:tcPr>
            <w:tcW w:w="1465" w:type="dxa"/>
          </w:tcPr>
          <w:p w14:paraId="0F5E8A26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E133-OE1</w:t>
            </w:r>
          </w:p>
        </w:tc>
      </w:tr>
      <w:tr w14:paraId="1E7D2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08258286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7</w:t>
            </w:r>
          </w:p>
        </w:tc>
        <w:tc>
          <w:tcPr>
            <w:tcW w:w="1837" w:type="dxa"/>
          </w:tcPr>
          <w:p w14:paraId="50F5B6C2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Y105-OH</w:t>
            </w:r>
          </w:p>
        </w:tc>
        <w:tc>
          <w:tcPr>
            <w:tcW w:w="2403" w:type="dxa"/>
          </w:tcPr>
          <w:p w14:paraId="73EFA5E4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3.76</w:t>
            </w:r>
          </w:p>
        </w:tc>
        <w:tc>
          <w:tcPr>
            <w:tcW w:w="1465" w:type="dxa"/>
          </w:tcPr>
          <w:p w14:paraId="3089A4CE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K108-O</w:t>
            </w:r>
          </w:p>
        </w:tc>
      </w:tr>
      <w:tr w14:paraId="3CF5D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38868309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8</w:t>
            </w:r>
          </w:p>
        </w:tc>
        <w:tc>
          <w:tcPr>
            <w:tcW w:w="1837" w:type="dxa"/>
          </w:tcPr>
          <w:p w14:paraId="64E85ADF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A106-N</w:t>
            </w:r>
          </w:p>
        </w:tc>
        <w:tc>
          <w:tcPr>
            <w:tcW w:w="2403" w:type="dxa"/>
          </w:tcPr>
          <w:p w14:paraId="4A42E7DE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3.29</w:t>
            </w:r>
          </w:p>
        </w:tc>
        <w:tc>
          <w:tcPr>
            <w:tcW w:w="1465" w:type="dxa"/>
          </w:tcPr>
          <w:p w14:paraId="2FD7743C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E133-OE1</w:t>
            </w:r>
          </w:p>
        </w:tc>
      </w:tr>
      <w:tr w14:paraId="6F59C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673" w:type="dxa"/>
          </w:tcPr>
          <w:p w14:paraId="27F06600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9</w:t>
            </w:r>
          </w:p>
        </w:tc>
        <w:tc>
          <w:tcPr>
            <w:tcW w:w="1837" w:type="dxa"/>
          </w:tcPr>
          <w:p w14:paraId="3B052731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F107-N</w:t>
            </w:r>
          </w:p>
        </w:tc>
        <w:tc>
          <w:tcPr>
            <w:tcW w:w="2403" w:type="dxa"/>
          </w:tcPr>
          <w:p w14:paraId="7F2A1813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2.88</w:t>
            </w:r>
          </w:p>
        </w:tc>
        <w:tc>
          <w:tcPr>
            <w:tcW w:w="1465" w:type="dxa"/>
          </w:tcPr>
          <w:p w14:paraId="32491386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C98-O</w:t>
            </w:r>
          </w:p>
        </w:tc>
      </w:tr>
      <w:tr w14:paraId="55DA7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73" w:type="dxa"/>
          </w:tcPr>
          <w:p w14:paraId="26AEA99D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10</w:t>
            </w:r>
          </w:p>
        </w:tc>
        <w:tc>
          <w:tcPr>
            <w:tcW w:w="1837" w:type="dxa"/>
          </w:tcPr>
          <w:p w14:paraId="7843DF3B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R108-NH2</w:t>
            </w:r>
          </w:p>
        </w:tc>
        <w:tc>
          <w:tcPr>
            <w:tcW w:w="2403" w:type="dxa"/>
          </w:tcPr>
          <w:p w14:paraId="62CB0C7D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3.74</w:t>
            </w:r>
          </w:p>
        </w:tc>
        <w:tc>
          <w:tcPr>
            <w:tcW w:w="1465" w:type="dxa"/>
          </w:tcPr>
          <w:p w14:paraId="4B71858F">
            <w:pPr>
              <w:spacing w:line="360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G131-O</w:t>
            </w:r>
          </w:p>
        </w:tc>
      </w:tr>
    </w:tbl>
    <w:p w14:paraId="7D9C7FA5">
      <w:pPr>
        <w:spacing w:line="360" w:lineRule="auto"/>
        <w:jc w:val="both"/>
        <w:rPr>
          <w:b/>
          <w:bCs/>
          <w:sz w:val="24"/>
          <w:szCs w:val="24"/>
          <w:lang w:eastAsia="zh-CN"/>
        </w:rPr>
      </w:pPr>
    </w:p>
    <w:p w14:paraId="3A6C89D3">
      <w:pPr>
        <w:spacing w:line="360" w:lineRule="auto"/>
        <w:jc w:val="both"/>
        <w:rPr>
          <w:b/>
          <w:bCs/>
          <w:sz w:val="24"/>
          <w:szCs w:val="24"/>
          <w:lang w:eastAsia="zh-CN"/>
        </w:rPr>
      </w:pPr>
    </w:p>
    <w:p w14:paraId="0BCB1D0A">
      <w:pPr>
        <w:rPr>
          <w:b/>
          <w:bCs/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br w:type="page"/>
      </w:r>
    </w:p>
    <w:p w14:paraId="71B464A4">
      <w:pPr>
        <w:spacing w:line="360" w:lineRule="auto"/>
        <w:jc w:val="both"/>
        <w:rPr>
          <w:b/>
          <w:bCs/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>Table</w:t>
      </w:r>
      <w:r>
        <w:rPr>
          <w:b/>
          <w:bCs/>
          <w:sz w:val="24"/>
          <w:szCs w:val="24"/>
        </w:rPr>
        <w:t xml:space="preserve"> S</w:t>
      </w:r>
      <w:r>
        <w:rPr>
          <w:b/>
          <w:bCs/>
          <w:sz w:val="24"/>
          <w:szCs w:val="24"/>
          <w:lang w:eastAsia="zh-CN"/>
        </w:rPr>
        <w:t>3</w:t>
      </w:r>
      <w:r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  <w:lang w:eastAsia="zh-CN"/>
        </w:rPr>
        <w:t xml:space="preserve"> Summary of </w:t>
      </w:r>
      <w:r>
        <w:rPr>
          <w:b/>
          <w:bCs/>
          <w:sz w:val="24"/>
          <w:szCs w:val="24"/>
        </w:rPr>
        <w:t>the binding affinity constant (K</w:t>
      </w:r>
      <w:r>
        <w:rPr>
          <w:b/>
          <w:bCs/>
          <w:sz w:val="24"/>
          <w:szCs w:val="24"/>
          <w:vertAlign w:val="subscript"/>
        </w:rPr>
        <w:t>D</w:t>
      </w:r>
      <w:r>
        <w:rPr>
          <w:b/>
          <w:bCs/>
          <w:sz w:val="24"/>
          <w:szCs w:val="24"/>
        </w:rPr>
        <w:t>) of Nanobody-161 WT and mutants interacting with TNFR2-His.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074"/>
        <w:gridCol w:w="1421"/>
        <w:gridCol w:w="1422"/>
        <w:gridCol w:w="1422"/>
        <w:gridCol w:w="1412"/>
      </w:tblGrid>
      <w:tr w14:paraId="457BB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80" w:type="dxa"/>
            <w:vAlign w:val="center"/>
          </w:tcPr>
          <w:p w14:paraId="062B5538">
            <w:pPr>
              <w:spacing w:line="360" w:lineRule="auto"/>
              <w:jc w:val="center"/>
              <w:rPr>
                <w:rFonts w:eastAsia="微软雅黑"/>
                <w:b/>
                <w:bCs/>
                <w:color w:val="000000"/>
                <w:kern w:val="24"/>
              </w:rPr>
            </w:pPr>
            <w:r>
              <w:rPr>
                <w:rFonts w:eastAsia="微软雅黑"/>
                <w:b/>
                <w:bCs/>
                <w:color w:val="000000"/>
                <w:kern w:val="24"/>
              </w:rPr>
              <w:t>No.</w:t>
            </w:r>
          </w:p>
        </w:tc>
        <w:tc>
          <w:tcPr>
            <w:tcW w:w="2095" w:type="dxa"/>
            <w:vAlign w:val="center"/>
          </w:tcPr>
          <w:p w14:paraId="7E9B4D39">
            <w:pPr>
              <w:spacing w:line="360" w:lineRule="auto"/>
              <w:jc w:val="center"/>
              <w:rPr>
                <w:rFonts w:eastAsia="微软雅黑"/>
                <w:b/>
                <w:bCs/>
                <w:color w:val="000000"/>
                <w:kern w:val="24"/>
              </w:rPr>
            </w:pPr>
            <w:r>
              <w:rPr>
                <w:rFonts w:eastAsia="微软雅黑"/>
                <w:b/>
                <w:bCs/>
                <w:color w:val="000000"/>
                <w:kern w:val="24"/>
              </w:rPr>
              <w:t>Nanobody-161</w:t>
            </w:r>
          </w:p>
        </w:tc>
        <w:tc>
          <w:tcPr>
            <w:tcW w:w="1437" w:type="dxa"/>
            <w:vAlign w:val="center"/>
          </w:tcPr>
          <w:p w14:paraId="12ABCAFA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b/>
                <w:bCs/>
                <w:color w:val="000000"/>
                <w:kern w:val="24"/>
              </w:rPr>
              <w:t>KD (M)</w:t>
            </w:r>
          </w:p>
        </w:tc>
        <w:tc>
          <w:tcPr>
            <w:tcW w:w="1437" w:type="dxa"/>
            <w:vAlign w:val="center"/>
          </w:tcPr>
          <w:p w14:paraId="642BE6BF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b/>
                <w:bCs/>
                <w:color w:val="000000"/>
                <w:kern w:val="24"/>
              </w:rPr>
              <w:t>ka(1/Ms)</w:t>
            </w:r>
          </w:p>
        </w:tc>
        <w:tc>
          <w:tcPr>
            <w:tcW w:w="1438" w:type="dxa"/>
            <w:vAlign w:val="center"/>
          </w:tcPr>
          <w:p w14:paraId="1ED8DCC5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b/>
                <w:bCs/>
                <w:color w:val="000000"/>
                <w:kern w:val="24"/>
              </w:rPr>
              <w:t>kd(1/s)</w:t>
            </w:r>
          </w:p>
        </w:tc>
        <w:tc>
          <w:tcPr>
            <w:tcW w:w="1438" w:type="dxa"/>
            <w:vAlign w:val="center"/>
          </w:tcPr>
          <w:p w14:paraId="40DA179B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b/>
                <w:bCs/>
                <w:color w:val="000000"/>
                <w:kern w:val="24"/>
              </w:rPr>
              <w:t>R2</w:t>
            </w:r>
          </w:p>
        </w:tc>
      </w:tr>
      <w:tr w14:paraId="4AEE0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80" w:type="dxa"/>
            <w:vAlign w:val="center"/>
          </w:tcPr>
          <w:p w14:paraId="0C337870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95" w:type="dxa"/>
            <w:vAlign w:val="center"/>
          </w:tcPr>
          <w:p w14:paraId="74027932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WT</w:t>
            </w:r>
          </w:p>
        </w:tc>
        <w:tc>
          <w:tcPr>
            <w:tcW w:w="1437" w:type="dxa"/>
            <w:vAlign w:val="center"/>
          </w:tcPr>
          <w:p w14:paraId="78292145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8.15E-08</w:t>
            </w:r>
          </w:p>
        </w:tc>
        <w:tc>
          <w:tcPr>
            <w:tcW w:w="1437" w:type="dxa"/>
            <w:vAlign w:val="center"/>
          </w:tcPr>
          <w:p w14:paraId="722D88AB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3.39E+03</w:t>
            </w:r>
          </w:p>
        </w:tc>
        <w:tc>
          <w:tcPr>
            <w:tcW w:w="1438" w:type="dxa"/>
            <w:vAlign w:val="center"/>
          </w:tcPr>
          <w:p w14:paraId="64EEE578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2.76E-04</w:t>
            </w:r>
          </w:p>
        </w:tc>
        <w:tc>
          <w:tcPr>
            <w:tcW w:w="1438" w:type="dxa"/>
            <w:vAlign w:val="center"/>
          </w:tcPr>
          <w:p w14:paraId="4D04D5FE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0.996</w:t>
            </w:r>
          </w:p>
        </w:tc>
      </w:tr>
      <w:tr w14:paraId="52A51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80" w:type="dxa"/>
            <w:vAlign w:val="center"/>
          </w:tcPr>
          <w:p w14:paraId="76C2D52D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95" w:type="dxa"/>
            <w:vAlign w:val="center"/>
          </w:tcPr>
          <w:p w14:paraId="762B1350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R29A</w:t>
            </w:r>
          </w:p>
        </w:tc>
        <w:tc>
          <w:tcPr>
            <w:tcW w:w="1437" w:type="dxa"/>
            <w:vAlign w:val="center"/>
          </w:tcPr>
          <w:p w14:paraId="02AE71B7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6.31E-07</w:t>
            </w:r>
          </w:p>
        </w:tc>
        <w:tc>
          <w:tcPr>
            <w:tcW w:w="1437" w:type="dxa"/>
            <w:vAlign w:val="center"/>
          </w:tcPr>
          <w:p w14:paraId="2CADC7DC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3.17E+03</w:t>
            </w:r>
          </w:p>
        </w:tc>
        <w:tc>
          <w:tcPr>
            <w:tcW w:w="1438" w:type="dxa"/>
            <w:vAlign w:val="center"/>
          </w:tcPr>
          <w:p w14:paraId="5DA50F3A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2.00E-03</w:t>
            </w:r>
          </w:p>
        </w:tc>
        <w:tc>
          <w:tcPr>
            <w:tcW w:w="1438" w:type="dxa"/>
            <w:vAlign w:val="center"/>
          </w:tcPr>
          <w:p w14:paraId="6D12CF22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0.997</w:t>
            </w:r>
          </w:p>
        </w:tc>
      </w:tr>
      <w:tr w14:paraId="1A398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80" w:type="dxa"/>
            <w:vAlign w:val="center"/>
          </w:tcPr>
          <w:p w14:paraId="2248605E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95" w:type="dxa"/>
            <w:vAlign w:val="center"/>
          </w:tcPr>
          <w:p w14:paraId="749AAA11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F30G</w:t>
            </w:r>
          </w:p>
        </w:tc>
        <w:tc>
          <w:tcPr>
            <w:tcW w:w="1437" w:type="dxa"/>
            <w:vAlign w:val="center"/>
          </w:tcPr>
          <w:p w14:paraId="6A1D0A62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3.78E-06</w:t>
            </w:r>
          </w:p>
        </w:tc>
        <w:tc>
          <w:tcPr>
            <w:tcW w:w="1437" w:type="dxa"/>
            <w:vAlign w:val="center"/>
          </w:tcPr>
          <w:p w14:paraId="6014BC5B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3.34E+03</w:t>
            </w:r>
          </w:p>
        </w:tc>
        <w:tc>
          <w:tcPr>
            <w:tcW w:w="1438" w:type="dxa"/>
            <w:vAlign w:val="center"/>
          </w:tcPr>
          <w:p w14:paraId="77E17987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1.26E-02</w:t>
            </w:r>
          </w:p>
        </w:tc>
        <w:tc>
          <w:tcPr>
            <w:tcW w:w="1438" w:type="dxa"/>
            <w:vAlign w:val="center"/>
          </w:tcPr>
          <w:p w14:paraId="2BA682DC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0.984</w:t>
            </w:r>
          </w:p>
        </w:tc>
      </w:tr>
      <w:tr w14:paraId="61928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80" w:type="dxa"/>
            <w:vAlign w:val="center"/>
          </w:tcPr>
          <w:p w14:paraId="3357048A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95" w:type="dxa"/>
            <w:vAlign w:val="center"/>
          </w:tcPr>
          <w:p w14:paraId="7BDAFBFD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R53A</w:t>
            </w:r>
          </w:p>
        </w:tc>
        <w:tc>
          <w:tcPr>
            <w:tcW w:w="1437" w:type="dxa"/>
            <w:vAlign w:val="center"/>
          </w:tcPr>
          <w:p w14:paraId="7C748478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7.95E-08</w:t>
            </w:r>
          </w:p>
        </w:tc>
        <w:tc>
          <w:tcPr>
            <w:tcW w:w="1437" w:type="dxa"/>
            <w:vAlign w:val="center"/>
          </w:tcPr>
          <w:p w14:paraId="648C5119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4.03E+03</w:t>
            </w:r>
          </w:p>
        </w:tc>
        <w:tc>
          <w:tcPr>
            <w:tcW w:w="1438" w:type="dxa"/>
            <w:vAlign w:val="center"/>
          </w:tcPr>
          <w:p w14:paraId="0CE8FA78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3.21E-04</w:t>
            </w:r>
          </w:p>
        </w:tc>
        <w:tc>
          <w:tcPr>
            <w:tcW w:w="1438" w:type="dxa"/>
            <w:vAlign w:val="center"/>
          </w:tcPr>
          <w:p w14:paraId="0A1DB18C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0.993</w:t>
            </w:r>
          </w:p>
        </w:tc>
      </w:tr>
      <w:tr w14:paraId="11AE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80" w:type="dxa"/>
            <w:vAlign w:val="center"/>
          </w:tcPr>
          <w:p w14:paraId="07C7646A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95" w:type="dxa"/>
            <w:vAlign w:val="center"/>
          </w:tcPr>
          <w:p w14:paraId="65155491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S101A</w:t>
            </w:r>
          </w:p>
        </w:tc>
        <w:tc>
          <w:tcPr>
            <w:tcW w:w="1437" w:type="dxa"/>
            <w:vAlign w:val="center"/>
          </w:tcPr>
          <w:p w14:paraId="39EBAA77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1.72E-06</w:t>
            </w:r>
          </w:p>
        </w:tc>
        <w:tc>
          <w:tcPr>
            <w:tcW w:w="1437" w:type="dxa"/>
            <w:vAlign w:val="center"/>
          </w:tcPr>
          <w:p w14:paraId="3305495A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5.37E+03</w:t>
            </w:r>
          </w:p>
        </w:tc>
        <w:tc>
          <w:tcPr>
            <w:tcW w:w="1438" w:type="dxa"/>
            <w:vAlign w:val="center"/>
          </w:tcPr>
          <w:p w14:paraId="430635DC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9.26E-03</w:t>
            </w:r>
          </w:p>
        </w:tc>
        <w:tc>
          <w:tcPr>
            <w:tcW w:w="1438" w:type="dxa"/>
            <w:vAlign w:val="center"/>
          </w:tcPr>
          <w:p w14:paraId="0CF71DE6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0.986</w:t>
            </w:r>
          </w:p>
        </w:tc>
      </w:tr>
      <w:tr w14:paraId="75A60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80" w:type="dxa"/>
            <w:vAlign w:val="center"/>
          </w:tcPr>
          <w:p w14:paraId="22E797F5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95" w:type="dxa"/>
            <w:vAlign w:val="center"/>
          </w:tcPr>
          <w:p w14:paraId="4247AEF2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Q102A</w:t>
            </w:r>
          </w:p>
        </w:tc>
        <w:tc>
          <w:tcPr>
            <w:tcW w:w="1437" w:type="dxa"/>
            <w:vAlign w:val="center"/>
          </w:tcPr>
          <w:p w14:paraId="232C8D60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2.12E-07</w:t>
            </w:r>
          </w:p>
        </w:tc>
        <w:tc>
          <w:tcPr>
            <w:tcW w:w="1437" w:type="dxa"/>
            <w:vAlign w:val="center"/>
          </w:tcPr>
          <w:p w14:paraId="43038A8C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3.29E+03</w:t>
            </w:r>
          </w:p>
        </w:tc>
        <w:tc>
          <w:tcPr>
            <w:tcW w:w="1438" w:type="dxa"/>
            <w:vAlign w:val="center"/>
          </w:tcPr>
          <w:p w14:paraId="409A73FF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6.99E-04</w:t>
            </w:r>
          </w:p>
        </w:tc>
        <w:tc>
          <w:tcPr>
            <w:tcW w:w="1438" w:type="dxa"/>
            <w:vAlign w:val="center"/>
          </w:tcPr>
          <w:p w14:paraId="03BDDCE8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0.996</w:t>
            </w:r>
          </w:p>
        </w:tc>
      </w:tr>
      <w:tr w14:paraId="13554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80" w:type="dxa"/>
            <w:vAlign w:val="center"/>
          </w:tcPr>
          <w:p w14:paraId="76E5310E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95" w:type="dxa"/>
            <w:vAlign w:val="center"/>
          </w:tcPr>
          <w:p w14:paraId="7A2DDB05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L103G</w:t>
            </w:r>
          </w:p>
        </w:tc>
        <w:tc>
          <w:tcPr>
            <w:tcW w:w="1437" w:type="dxa"/>
            <w:vAlign w:val="center"/>
          </w:tcPr>
          <w:p w14:paraId="79300E03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9.76E-07</w:t>
            </w:r>
          </w:p>
        </w:tc>
        <w:tc>
          <w:tcPr>
            <w:tcW w:w="1437" w:type="dxa"/>
            <w:vAlign w:val="center"/>
          </w:tcPr>
          <w:p w14:paraId="597B9C08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3.92E+03</w:t>
            </w:r>
          </w:p>
        </w:tc>
        <w:tc>
          <w:tcPr>
            <w:tcW w:w="1438" w:type="dxa"/>
            <w:vAlign w:val="center"/>
          </w:tcPr>
          <w:p w14:paraId="48FB41F7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3.82E-03</w:t>
            </w:r>
          </w:p>
        </w:tc>
        <w:tc>
          <w:tcPr>
            <w:tcW w:w="1438" w:type="dxa"/>
            <w:vAlign w:val="center"/>
          </w:tcPr>
          <w:p w14:paraId="1414F5E7">
            <w:pPr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0.996</w:t>
            </w:r>
          </w:p>
        </w:tc>
      </w:tr>
      <w:tr w14:paraId="77726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80" w:type="dxa"/>
            <w:vAlign w:val="center"/>
          </w:tcPr>
          <w:p w14:paraId="5B6CD104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95" w:type="dxa"/>
            <w:vAlign w:val="center"/>
          </w:tcPr>
          <w:p w14:paraId="66C45E7A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Y105G</w:t>
            </w:r>
          </w:p>
        </w:tc>
        <w:tc>
          <w:tcPr>
            <w:tcW w:w="1437" w:type="dxa"/>
            <w:vAlign w:val="center"/>
          </w:tcPr>
          <w:p w14:paraId="434371D0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2.14E-04</w:t>
            </w:r>
          </w:p>
        </w:tc>
        <w:tc>
          <w:tcPr>
            <w:tcW w:w="1437" w:type="dxa"/>
            <w:vAlign w:val="center"/>
          </w:tcPr>
          <w:p w14:paraId="793FD62E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4.29E+02</w:t>
            </w:r>
          </w:p>
        </w:tc>
        <w:tc>
          <w:tcPr>
            <w:tcW w:w="1438" w:type="dxa"/>
            <w:vAlign w:val="center"/>
          </w:tcPr>
          <w:p w14:paraId="35D1063E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9.17E-02</w:t>
            </w:r>
          </w:p>
        </w:tc>
        <w:tc>
          <w:tcPr>
            <w:tcW w:w="1438" w:type="dxa"/>
            <w:vAlign w:val="center"/>
          </w:tcPr>
          <w:p w14:paraId="322420EE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0.963</w:t>
            </w:r>
          </w:p>
        </w:tc>
      </w:tr>
      <w:tr w14:paraId="71F3C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80" w:type="dxa"/>
            <w:vAlign w:val="center"/>
          </w:tcPr>
          <w:p w14:paraId="6E8E9DDA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95" w:type="dxa"/>
            <w:vAlign w:val="center"/>
          </w:tcPr>
          <w:p w14:paraId="4A84049F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F107G</w:t>
            </w:r>
          </w:p>
        </w:tc>
        <w:tc>
          <w:tcPr>
            <w:tcW w:w="1437" w:type="dxa"/>
            <w:vAlign w:val="center"/>
          </w:tcPr>
          <w:p w14:paraId="30EEAD69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eastAsia="微软雅黑"/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37" w:type="dxa"/>
            <w:vAlign w:val="center"/>
          </w:tcPr>
          <w:p w14:paraId="027D4BF6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eastAsia="微软雅黑"/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38" w:type="dxa"/>
            <w:vAlign w:val="center"/>
          </w:tcPr>
          <w:p w14:paraId="5A2C7514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eastAsia="微软雅黑"/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38" w:type="dxa"/>
            <w:vAlign w:val="center"/>
          </w:tcPr>
          <w:p w14:paraId="0E5A3C88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eastAsia="微软雅黑"/>
                <w:color w:val="000000" w:themeColor="text1"/>
                <w:kern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</w:tr>
      <w:tr w14:paraId="366BC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80" w:type="dxa"/>
            <w:vAlign w:val="center"/>
          </w:tcPr>
          <w:p w14:paraId="2D46A606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95" w:type="dxa"/>
            <w:vAlign w:val="center"/>
          </w:tcPr>
          <w:p w14:paraId="65A35EB1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R108A</w:t>
            </w:r>
          </w:p>
        </w:tc>
        <w:tc>
          <w:tcPr>
            <w:tcW w:w="1437" w:type="dxa"/>
            <w:vAlign w:val="center"/>
          </w:tcPr>
          <w:p w14:paraId="042DD0CB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1.86E-07</w:t>
            </w:r>
          </w:p>
        </w:tc>
        <w:tc>
          <w:tcPr>
            <w:tcW w:w="1437" w:type="dxa"/>
            <w:vAlign w:val="center"/>
          </w:tcPr>
          <w:p w14:paraId="2408BFD6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4.73E+03</w:t>
            </w:r>
          </w:p>
        </w:tc>
        <w:tc>
          <w:tcPr>
            <w:tcW w:w="1438" w:type="dxa"/>
            <w:vAlign w:val="center"/>
          </w:tcPr>
          <w:p w14:paraId="4450B493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8.77E-04</w:t>
            </w:r>
          </w:p>
        </w:tc>
        <w:tc>
          <w:tcPr>
            <w:tcW w:w="1438" w:type="dxa"/>
            <w:vAlign w:val="center"/>
          </w:tcPr>
          <w:p w14:paraId="4AC6D85E">
            <w:pPr>
              <w:spacing w:line="360" w:lineRule="auto"/>
              <w:jc w:val="center"/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color w:val="000000" w:themeColor="text1"/>
                <w:kern w:val="24"/>
                <w14:textFill>
                  <w14:solidFill>
                    <w14:schemeClr w14:val="tx1"/>
                  </w14:solidFill>
                </w14:textFill>
              </w:rPr>
              <w:t>0.994</w:t>
            </w:r>
          </w:p>
        </w:tc>
      </w:tr>
      <w:bookmarkEnd w:id="1"/>
    </w:tbl>
    <w:p w14:paraId="53A64233">
      <w:pPr>
        <w:spacing w:line="360" w:lineRule="auto"/>
        <w:jc w:val="both"/>
        <w:rPr>
          <w:b/>
          <w:bCs/>
          <w:sz w:val="24"/>
          <w:szCs w:val="24"/>
          <w:lang w:eastAsia="zh-CN"/>
        </w:rPr>
      </w:pPr>
    </w:p>
    <w:p w14:paraId="473838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E6F"/>
    <w:rsid w:val="000C1E6F"/>
    <w:rsid w:val="005C743F"/>
    <w:rsid w:val="00B061CE"/>
    <w:rsid w:val="20C341F9"/>
    <w:rsid w:val="565F40E6"/>
    <w:rsid w:val="57090410"/>
    <w:rsid w:val="5B805EC9"/>
    <w:rsid w:val="6F53355F"/>
    <w:rsid w:val="7C322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Paragraph"/>
    <w:basedOn w:val="6"/>
    <w:qFormat/>
    <w:uiPriority w:val="0"/>
    <w:pPr>
      <w:ind w:firstLine="720"/>
    </w:pPr>
  </w:style>
  <w:style w:type="paragraph" w:customStyle="1" w:styleId="6">
    <w:name w:val="Base_Text"/>
    <w:qFormat/>
    <w:uiPriority w:val="0"/>
    <w:pPr>
      <w:spacing w:before="120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customStyle="1" w:styleId="7">
    <w:name w:val="Ref head"/>
    <w:basedOn w:val="8"/>
    <w:qFormat/>
    <w:uiPriority w:val="0"/>
    <w:pPr>
      <w:spacing w:before="120" w:after="120"/>
    </w:pPr>
    <w:rPr>
      <w:b/>
      <w:bCs/>
      <w:sz w:val="24"/>
      <w:szCs w:val="24"/>
    </w:rPr>
  </w:style>
  <w:style w:type="paragraph" w:customStyle="1" w:styleId="8">
    <w:name w:val="Base_Heading"/>
    <w:qFormat/>
    <w:uiPriority w:val="0"/>
    <w:pPr>
      <w:keepNext/>
      <w:spacing w:before="240"/>
      <w:outlineLvl w:val="0"/>
    </w:pPr>
    <w:rPr>
      <w:rFonts w:ascii="Times New Roman" w:hAnsi="Times New Roman" w:eastAsia="Times New Roman" w:cs="Times New Roman"/>
      <w:kern w:val="28"/>
      <w:sz w:val="28"/>
      <w:szCs w:val="28"/>
      <w:lang w:val="en-US" w:eastAsia="en-US" w:bidi="ar-SA"/>
    </w:rPr>
  </w:style>
  <w:style w:type="paragraph" w:customStyle="1" w:styleId="9">
    <w:name w:val="EndNote Bibliography"/>
    <w:basedOn w:val="1"/>
    <w:qFormat/>
    <w:uiPriority w:val="0"/>
  </w:style>
  <w:style w:type="paragraph" w:customStyle="1" w:styleId="10">
    <w:name w:val="Acknowledgement"/>
    <w:basedOn w:val="11"/>
    <w:qFormat/>
    <w:uiPriority w:val="0"/>
  </w:style>
  <w:style w:type="paragraph" w:customStyle="1" w:styleId="11">
    <w:name w:val="References and notes"/>
    <w:basedOn w:val="6"/>
    <w:qFormat/>
    <w:uiPriority w:val="0"/>
    <w:pPr>
      <w:ind w:left="720" w:hanging="7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2237</Words>
  <Characters>12140</Characters>
  <Lines>436</Lines>
  <Paragraphs>327</Paragraphs>
  <TotalTime>5</TotalTime>
  <ScaleCrop>false</ScaleCrop>
  <LinksUpToDate>false</LinksUpToDate>
  <CharactersWithSpaces>14294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2025-02-19T04:51:00Z</dcterms:created>
  <dc:creator>lenovo</dc:creator>
  <cp:lastModifiedBy>OmnipotentYouthLanny</cp:lastModifiedBy>
  <dcterms:modified xsi:type="dcterms:W3CDTF">2025-06-11T01:09:20Z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eyJoZGlkIjoiM2ZlMDZkNTc1NzY3NzlmNDMzYjdlZjAzZTI3MTc4MTQiLCJ1c2VySWQiOiIzNTYwMzYwODEifQ==</vt:lpwstr>
  </property>
  <property fmtid="{D5CDD505-2E9C-101B-9397-08002B2CF9AE}" pid="4" name="ICV">
    <vt:lpwstr>FB9B9336105E441AAC0765599D8CDBC3_13</vt:lpwstr>
  </property>
  <property fmtid="{D5CDD505-2E9C-101B-9397-08002B2CF9AE}" pid="5" name="GrammarlyDocumentId">
    <vt:lpwstr>4d4f6d326d4e29597ffdf1cca51c9d532c02bbbc265c837899f39c5065ecda03</vt:lpwstr>
  </property>
</Properties>
</file>