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AE1F7" w14:textId="77777777" w:rsidR="00C84082" w:rsidRPr="00F86C4C" w:rsidRDefault="00C84082" w:rsidP="00C84082">
      <w:pPr>
        <w:rPr>
          <w:rFonts w:ascii="Times New Roman" w:hAnsi="Times New Roman" w:cs="Times New Roman"/>
          <w:b/>
          <w:bCs/>
        </w:rPr>
      </w:pPr>
      <w:r w:rsidRPr="00F86C4C">
        <w:rPr>
          <w:rFonts w:ascii="Times New Roman" w:hAnsi="Times New Roman" w:cs="Times New Roman"/>
          <w:b/>
          <w:bCs/>
        </w:rPr>
        <w:t xml:space="preserve">Benchmarking the Builders: A Comparative Analysis of </w:t>
      </w:r>
      <w:proofErr w:type="spellStart"/>
      <w:r w:rsidRPr="00F86C4C">
        <w:rPr>
          <w:rFonts w:ascii="Times New Roman" w:hAnsi="Times New Roman" w:cs="Times New Roman"/>
          <w:b/>
          <w:bCs/>
        </w:rPr>
        <w:t>PRosettaC</w:t>
      </w:r>
      <w:proofErr w:type="spellEnd"/>
      <w:r w:rsidRPr="00F86C4C">
        <w:rPr>
          <w:rFonts w:ascii="Times New Roman" w:hAnsi="Times New Roman" w:cs="Times New Roman"/>
          <w:b/>
          <w:bCs/>
        </w:rPr>
        <w:t xml:space="preserve"> and AlphaFold3 for Predicting PROTAC Ternary Complexes</w:t>
      </w:r>
    </w:p>
    <w:p w14:paraId="08DB745C" w14:textId="77777777" w:rsidR="00C84082" w:rsidRPr="00F86C4C" w:rsidRDefault="00C84082" w:rsidP="00C84082">
      <w:pPr>
        <w:rPr>
          <w:rFonts w:ascii="Times New Roman" w:hAnsi="Times New Roman" w:cs="Times New Roman"/>
          <w:b/>
          <w:bCs/>
        </w:rPr>
      </w:pPr>
    </w:p>
    <w:p w14:paraId="660BA6AA" w14:textId="77777777" w:rsidR="00C84082" w:rsidRPr="00F86C4C" w:rsidRDefault="00C84082" w:rsidP="00C84082">
      <w:pPr>
        <w:rPr>
          <w:rFonts w:ascii="Times New Roman" w:hAnsi="Times New Roman" w:cs="Times New Roman"/>
          <w:b/>
          <w:bCs/>
        </w:rPr>
      </w:pPr>
    </w:p>
    <w:p w14:paraId="1A9946F1" w14:textId="278A7421" w:rsidR="00AD1221" w:rsidRPr="00B537A9" w:rsidRDefault="00AD1221" w:rsidP="00AD1221">
      <w:pPr>
        <w:snapToGrid w:val="0"/>
        <w:spacing w:before="120" w:after="120" w:line="240" w:lineRule="auto"/>
        <w:rPr>
          <w:rFonts w:ascii="Times New Roman" w:hAnsi="Times New Roman" w:cs="Times New Roman"/>
          <w:b/>
          <w:bCs/>
        </w:rPr>
      </w:pPr>
      <w:bookmarkStart w:id="0" w:name="reference"/>
      <w:bookmarkEnd w:id="0"/>
      <w:r w:rsidRPr="00B537A9">
        <w:rPr>
          <w:rFonts w:ascii="Times New Roman" w:hAnsi="Times New Roman" w:cs="Times New Roman"/>
          <w:b/>
          <w:bCs/>
        </w:rPr>
        <w:t>Joseph</w:t>
      </w:r>
      <w:r>
        <w:rPr>
          <w:rFonts w:ascii="Times New Roman" w:hAnsi="Times New Roman" w:cs="Times New Roman"/>
          <w:b/>
          <w:bCs/>
        </w:rPr>
        <w:t xml:space="preserve"> </w:t>
      </w:r>
      <w:r w:rsidRPr="00B537A9">
        <w:rPr>
          <w:rFonts w:ascii="Times New Roman" w:hAnsi="Times New Roman" w:cs="Times New Roman"/>
          <w:b/>
          <w:bCs/>
        </w:rPr>
        <w:t>M.</w:t>
      </w:r>
      <w:r>
        <w:rPr>
          <w:rFonts w:ascii="Times New Roman" w:hAnsi="Times New Roman" w:cs="Times New Roman"/>
          <w:b/>
          <w:bCs/>
        </w:rPr>
        <w:t xml:space="preserve"> </w:t>
      </w:r>
      <w:r w:rsidRPr="00B537A9">
        <w:rPr>
          <w:rFonts w:ascii="Times New Roman" w:hAnsi="Times New Roman" w:cs="Times New Roman"/>
          <w:b/>
          <w:bCs/>
        </w:rPr>
        <w:t>Schulz</w:t>
      </w:r>
      <w:r w:rsidRPr="00B537A9">
        <w:rPr>
          <w:rFonts w:ascii="Times New Roman" w:hAnsi="Times New Roman" w:cs="Times New Roman"/>
          <w:b/>
          <w:bCs/>
          <w:vertAlign w:val="superscript"/>
        </w:rPr>
        <w:t>1</w:t>
      </w:r>
      <w:r w:rsidRPr="00B537A9">
        <w:rPr>
          <w:rFonts w:ascii="Times New Roman" w:hAnsi="Times New Roman" w:cs="Times New Roman"/>
          <w:b/>
          <w:bCs/>
        </w:rPr>
        <w:t>,</w:t>
      </w:r>
      <w:r>
        <w:rPr>
          <w:rFonts w:ascii="Times New Roman" w:hAnsi="Times New Roman" w:cs="Times New Roman"/>
          <w:b/>
          <w:bCs/>
        </w:rPr>
        <w:t xml:space="preserve"> </w:t>
      </w:r>
      <w:r w:rsidRPr="00B537A9">
        <w:rPr>
          <w:rFonts w:ascii="Times New Roman" w:hAnsi="Times New Roman" w:cs="Times New Roman"/>
          <w:b/>
          <w:bCs/>
        </w:rPr>
        <w:t>Sarah</w:t>
      </w:r>
      <w:r>
        <w:rPr>
          <w:rFonts w:ascii="Times New Roman" w:hAnsi="Times New Roman" w:cs="Times New Roman"/>
          <w:b/>
          <w:bCs/>
        </w:rPr>
        <w:t xml:space="preserve"> I. </w:t>
      </w:r>
      <w:r w:rsidRPr="00B537A9">
        <w:rPr>
          <w:rFonts w:ascii="Times New Roman" w:hAnsi="Times New Roman" w:cs="Times New Roman"/>
          <w:b/>
          <w:bCs/>
        </w:rPr>
        <w:t>Schürer</w:t>
      </w:r>
      <w:r w:rsidRPr="00B537A9">
        <w:rPr>
          <w:rFonts w:ascii="Times New Roman" w:hAnsi="Times New Roman" w:cs="Times New Roman"/>
          <w:b/>
          <w:bCs/>
          <w:vertAlign w:val="superscript"/>
        </w:rPr>
        <w:t>2</w:t>
      </w:r>
      <w:r w:rsidRPr="00B537A9">
        <w:rPr>
          <w:rFonts w:ascii="Times New Roman" w:hAnsi="Times New Roman" w:cs="Times New Roman"/>
          <w:b/>
          <w:bCs/>
        </w:rPr>
        <w:t>,</w:t>
      </w:r>
      <w:r>
        <w:rPr>
          <w:rFonts w:ascii="Times New Roman" w:hAnsi="Times New Roman" w:cs="Times New Roman"/>
          <w:b/>
          <w:bCs/>
        </w:rPr>
        <w:t xml:space="preserve"> Robert C. Reynolds</w:t>
      </w:r>
      <w:r w:rsidR="00117187" w:rsidRPr="00117187">
        <w:rPr>
          <w:rFonts w:ascii="Times New Roman" w:hAnsi="Times New Roman" w:cs="Times New Roman"/>
          <w:b/>
          <w:bCs/>
          <w:vertAlign w:val="superscript"/>
        </w:rPr>
        <w:t>3</w:t>
      </w:r>
      <w:r>
        <w:rPr>
          <w:rFonts w:ascii="Times New Roman" w:hAnsi="Times New Roman" w:cs="Times New Roman"/>
          <w:b/>
          <w:bCs/>
        </w:rPr>
        <w:t xml:space="preserve">, </w:t>
      </w:r>
      <w:r w:rsidRPr="00B537A9">
        <w:rPr>
          <w:rFonts w:ascii="Times New Roman" w:hAnsi="Times New Roman" w:cs="Times New Roman"/>
          <w:b/>
          <w:bCs/>
        </w:rPr>
        <w:t>Stephan</w:t>
      </w:r>
      <w:r>
        <w:rPr>
          <w:rFonts w:ascii="Times New Roman" w:hAnsi="Times New Roman" w:cs="Times New Roman"/>
          <w:b/>
          <w:bCs/>
        </w:rPr>
        <w:t xml:space="preserve"> </w:t>
      </w:r>
      <w:r w:rsidRPr="00B537A9">
        <w:rPr>
          <w:rFonts w:ascii="Times New Roman" w:hAnsi="Times New Roman" w:cs="Times New Roman"/>
          <w:b/>
          <w:bCs/>
        </w:rPr>
        <w:t>C.</w:t>
      </w:r>
      <w:r>
        <w:rPr>
          <w:rFonts w:ascii="Times New Roman" w:hAnsi="Times New Roman" w:cs="Times New Roman"/>
          <w:b/>
          <w:bCs/>
        </w:rPr>
        <w:t xml:space="preserve"> </w:t>
      </w:r>
      <w:r w:rsidRPr="00B537A9">
        <w:rPr>
          <w:rFonts w:ascii="Times New Roman" w:hAnsi="Times New Roman" w:cs="Times New Roman"/>
          <w:b/>
          <w:bCs/>
        </w:rPr>
        <w:t>Schürer*</w:t>
      </w:r>
      <w:r>
        <w:rPr>
          <w:rFonts w:ascii="Times New Roman" w:hAnsi="Times New Roman" w:cs="Times New Roman"/>
          <w:b/>
          <w:bCs/>
        </w:rPr>
        <w:t xml:space="preserve"> </w:t>
      </w:r>
      <w:r w:rsidRPr="00B537A9">
        <w:rPr>
          <w:rFonts w:ascii="Times New Roman" w:hAnsi="Times New Roman" w:cs="Times New Roman"/>
          <w:b/>
          <w:bCs/>
          <w:vertAlign w:val="superscript"/>
        </w:rPr>
        <w:t>1,</w:t>
      </w:r>
      <w:r>
        <w:rPr>
          <w:rFonts w:ascii="Times New Roman" w:hAnsi="Times New Roman" w:cs="Times New Roman"/>
          <w:b/>
          <w:bCs/>
          <w:vertAlign w:val="superscript"/>
        </w:rPr>
        <w:t>4</w:t>
      </w:r>
      <w:r w:rsidRPr="00B537A9">
        <w:rPr>
          <w:rFonts w:ascii="Times New Roman" w:hAnsi="Times New Roman" w:cs="Times New Roman"/>
          <w:b/>
          <w:bCs/>
          <w:vertAlign w:val="superscript"/>
        </w:rPr>
        <w:t>,</w:t>
      </w:r>
      <w:r>
        <w:rPr>
          <w:rFonts w:ascii="Times New Roman" w:hAnsi="Times New Roman" w:cs="Times New Roman"/>
          <w:b/>
          <w:bCs/>
          <w:vertAlign w:val="superscript"/>
        </w:rPr>
        <w:t>5</w:t>
      </w:r>
    </w:p>
    <w:p w14:paraId="0543489F" w14:textId="77777777" w:rsidR="00AD1221" w:rsidRPr="00B537A9" w:rsidRDefault="00AD1221" w:rsidP="00AD1221">
      <w:pPr>
        <w:snapToGrid w:val="0"/>
        <w:spacing w:before="120" w:after="120" w:line="240" w:lineRule="auto"/>
        <w:rPr>
          <w:rFonts w:ascii="Times New Roman" w:eastAsia="Times New Roman" w:hAnsi="Times New Roman" w:cs="Times New Roman"/>
          <w:kern w:val="0"/>
          <w14:ligatures w14:val="none"/>
        </w:rPr>
      </w:pPr>
    </w:p>
    <w:p w14:paraId="0145B0AA" w14:textId="77777777" w:rsidR="00AD1221" w:rsidRPr="00B537A9" w:rsidRDefault="00AD1221" w:rsidP="00AD1221">
      <w:pPr>
        <w:snapToGrid w:val="0"/>
        <w:spacing w:before="120" w:after="120" w:line="240" w:lineRule="auto"/>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 xml:space="preserve">1. </w:t>
      </w:r>
      <w:r w:rsidRPr="00B537A9">
        <w:rPr>
          <w:rFonts w:ascii="Times New Roman" w:hAnsi="Times New Roman" w:cs="Times New Roman"/>
          <w:color w:val="202020"/>
          <w:sz w:val="20"/>
          <w:szCs w:val="20"/>
          <w:shd w:val="clear" w:color="auto" w:fill="FFFFFF"/>
        </w:rPr>
        <w:t>Department</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of</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Molecular</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and</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Cellular</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Pharmacology,</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University</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of</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Miami,</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Miami,</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FL,</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USA</w:t>
      </w:r>
      <w:r>
        <w:rPr>
          <w:rFonts w:ascii="Times New Roman" w:hAnsi="Times New Roman" w:cs="Times New Roman"/>
          <w:color w:val="202020"/>
          <w:sz w:val="20"/>
          <w:szCs w:val="20"/>
          <w:shd w:val="clear" w:color="auto" w:fill="FFFFFF"/>
        </w:rPr>
        <w:t>.</w:t>
      </w:r>
    </w:p>
    <w:p w14:paraId="6997265F" w14:textId="77777777" w:rsidR="00AD1221" w:rsidRPr="00B537A9" w:rsidRDefault="00AD1221" w:rsidP="00AD1221">
      <w:pPr>
        <w:snapToGrid w:val="0"/>
        <w:spacing w:before="120" w:after="120" w:line="240" w:lineRule="auto"/>
        <w:rPr>
          <w:rFonts w:ascii="Times New Roman" w:hAnsi="Times New Roman" w:cs="Times New Roman"/>
          <w:color w:val="202020"/>
          <w:sz w:val="20"/>
          <w:szCs w:val="20"/>
          <w:shd w:val="clear" w:color="auto" w:fill="FFFFFF"/>
        </w:rPr>
      </w:pPr>
      <w:r w:rsidRPr="00B537A9">
        <w:rPr>
          <w:rFonts w:ascii="Times New Roman" w:hAnsi="Times New Roman" w:cs="Times New Roman"/>
          <w:color w:val="202020"/>
          <w:sz w:val="20"/>
          <w:szCs w:val="20"/>
          <w:shd w:val="clear" w:color="auto" w:fill="FFFFFF"/>
        </w:rPr>
        <w:t>2</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Santa</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Catalina</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School,</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Monterey</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CA,</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USA</w:t>
      </w:r>
      <w:r>
        <w:rPr>
          <w:rFonts w:ascii="Times New Roman" w:hAnsi="Times New Roman" w:cs="Times New Roman"/>
          <w:color w:val="202020"/>
          <w:sz w:val="20"/>
          <w:szCs w:val="20"/>
          <w:shd w:val="clear" w:color="auto" w:fill="FFFFFF"/>
        </w:rPr>
        <w:t>.</w:t>
      </w:r>
    </w:p>
    <w:p w14:paraId="66A808B1" w14:textId="77777777" w:rsidR="00AD1221" w:rsidRDefault="00AD1221" w:rsidP="00AD1221">
      <w:pPr>
        <w:snapToGrid w:val="0"/>
        <w:spacing w:before="120" w:after="120" w:line="240" w:lineRule="auto"/>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 xml:space="preserve">3. </w:t>
      </w:r>
      <w:r w:rsidRPr="0024076D">
        <w:rPr>
          <w:rFonts w:ascii="Times New Roman" w:hAnsi="Times New Roman" w:cs="Times New Roman"/>
          <w:color w:val="202020"/>
          <w:sz w:val="20"/>
          <w:szCs w:val="20"/>
          <w:shd w:val="clear" w:color="auto" w:fill="FFFFFF"/>
        </w:rPr>
        <w:t>O’Neal</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Comprehensive</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Cancer</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Center,</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University</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of</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Alabama</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at</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Birmingham,</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Birmingham,</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AL</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35205,</w:t>
      </w:r>
      <w:r>
        <w:rPr>
          <w:rFonts w:ascii="Times New Roman" w:hAnsi="Times New Roman" w:cs="Times New Roman"/>
          <w:color w:val="202020"/>
          <w:sz w:val="20"/>
          <w:szCs w:val="20"/>
          <w:shd w:val="clear" w:color="auto" w:fill="FFFFFF"/>
        </w:rPr>
        <w:t xml:space="preserve"> </w:t>
      </w:r>
      <w:r w:rsidRPr="0024076D">
        <w:rPr>
          <w:rFonts w:ascii="Times New Roman" w:hAnsi="Times New Roman" w:cs="Times New Roman"/>
          <w:color w:val="202020"/>
          <w:sz w:val="20"/>
          <w:szCs w:val="20"/>
          <w:shd w:val="clear" w:color="auto" w:fill="FFFFFF"/>
        </w:rPr>
        <w:t>USA</w:t>
      </w:r>
    </w:p>
    <w:p w14:paraId="57624F1B" w14:textId="77777777" w:rsidR="00AD1221" w:rsidRPr="00B537A9" w:rsidRDefault="00AD1221" w:rsidP="00AD1221">
      <w:pPr>
        <w:snapToGrid w:val="0"/>
        <w:spacing w:before="120" w:after="120" w:line="240" w:lineRule="auto"/>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 xml:space="preserve">4. </w:t>
      </w:r>
      <w:r w:rsidRPr="00B537A9">
        <w:rPr>
          <w:rFonts w:ascii="Times New Roman" w:hAnsi="Times New Roman" w:cs="Times New Roman"/>
          <w:color w:val="202020"/>
          <w:sz w:val="20"/>
          <w:szCs w:val="20"/>
          <w:shd w:val="clear" w:color="auto" w:fill="FFFFFF"/>
        </w:rPr>
        <w:t>Sylvester</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Comprehensive</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Cancer</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Center,</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University</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of</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Miami</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Miller</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School</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of</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Medicine,</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Miami,</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FL,</w:t>
      </w:r>
      <w:r>
        <w:rPr>
          <w:rFonts w:ascii="Times New Roman" w:hAnsi="Times New Roman" w:cs="Times New Roman"/>
          <w:color w:val="202020"/>
          <w:sz w:val="20"/>
          <w:szCs w:val="20"/>
          <w:shd w:val="clear" w:color="auto" w:fill="FFFFFF"/>
        </w:rPr>
        <w:t xml:space="preserve"> </w:t>
      </w:r>
      <w:r w:rsidRPr="00B537A9">
        <w:rPr>
          <w:rFonts w:ascii="Times New Roman" w:hAnsi="Times New Roman" w:cs="Times New Roman"/>
          <w:color w:val="202020"/>
          <w:sz w:val="20"/>
          <w:szCs w:val="20"/>
          <w:shd w:val="clear" w:color="auto" w:fill="FFFFFF"/>
        </w:rPr>
        <w:t>USA.</w:t>
      </w:r>
    </w:p>
    <w:p w14:paraId="7181B2B8" w14:textId="77777777" w:rsidR="00AD1221" w:rsidRPr="00B537A9" w:rsidRDefault="00AD1221" w:rsidP="00AD1221">
      <w:pPr>
        <w:snapToGrid w:val="0"/>
        <w:spacing w:before="120" w:after="12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5. Frost </w:t>
      </w:r>
      <w:r w:rsidRPr="00B537A9">
        <w:rPr>
          <w:rFonts w:ascii="Times New Roman" w:eastAsia="Times New Roman" w:hAnsi="Times New Roman" w:cs="Times New Roman"/>
          <w:kern w:val="0"/>
          <w:sz w:val="20"/>
          <w:szCs w:val="20"/>
          <w14:ligatures w14:val="none"/>
        </w:rPr>
        <w:t>Institute</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for</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Data</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Science</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&amp;</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Computing,</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University</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of</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Miami,</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Miami,</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FL,</w:t>
      </w:r>
      <w:r>
        <w:rPr>
          <w:rFonts w:ascii="Times New Roman" w:eastAsia="Times New Roman" w:hAnsi="Times New Roman" w:cs="Times New Roman"/>
          <w:kern w:val="0"/>
          <w:sz w:val="20"/>
          <w:szCs w:val="20"/>
          <w14:ligatures w14:val="none"/>
        </w:rPr>
        <w:t xml:space="preserve"> </w:t>
      </w:r>
      <w:r w:rsidRPr="00B537A9">
        <w:rPr>
          <w:rFonts w:ascii="Times New Roman" w:eastAsia="Times New Roman" w:hAnsi="Times New Roman" w:cs="Times New Roman"/>
          <w:kern w:val="0"/>
          <w:sz w:val="20"/>
          <w:szCs w:val="20"/>
          <w14:ligatures w14:val="none"/>
        </w:rPr>
        <w:t>USA.</w:t>
      </w:r>
    </w:p>
    <w:p w14:paraId="7ED5D574" w14:textId="77777777" w:rsidR="00C84082" w:rsidRPr="00F86C4C" w:rsidRDefault="00C84082" w:rsidP="00C84082">
      <w:pPr>
        <w:rPr>
          <w:rFonts w:ascii="Times New Roman" w:hAnsi="Times New Roman" w:cs="Times New Roman"/>
          <w:b/>
          <w:bCs/>
        </w:rPr>
      </w:pPr>
    </w:p>
    <w:p w14:paraId="6C6ACA89" w14:textId="70075D53" w:rsidR="00C84082" w:rsidRPr="00AD1221" w:rsidRDefault="00C84082" w:rsidP="00C84082">
      <w:pPr>
        <w:rPr>
          <w:rFonts w:ascii="Times New Roman" w:hAnsi="Times New Roman" w:cs="Times New Roman"/>
        </w:rPr>
      </w:pPr>
      <w:r w:rsidRPr="00AD1221">
        <w:rPr>
          <w:rFonts w:ascii="Times New Roman" w:hAnsi="Times New Roman" w:cs="Times New Roman"/>
        </w:rPr>
        <w:t xml:space="preserve">*Corresponding </w:t>
      </w:r>
      <w:r w:rsidR="00AD1221">
        <w:rPr>
          <w:rFonts w:ascii="Times New Roman" w:hAnsi="Times New Roman" w:cs="Times New Roman"/>
        </w:rPr>
        <w:t>a</w:t>
      </w:r>
      <w:r w:rsidRPr="00AD1221">
        <w:rPr>
          <w:rFonts w:ascii="Times New Roman" w:hAnsi="Times New Roman" w:cs="Times New Roman"/>
        </w:rPr>
        <w:t xml:space="preserve">uthor: </w:t>
      </w:r>
      <w:hyperlink r:id="rId4" w:history="1">
        <w:r w:rsidRPr="00AD1221">
          <w:rPr>
            <w:rStyle w:val="Hyperlink"/>
            <w:rFonts w:ascii="Times New Roman" w:hAnsi="Times New Roman" w:cs="Times New Roman"/>
          </w:rPr>
          <w:t>sschurer@miami.edu</w:t>
        </w:r>
      </w:hyperlink>
      <w:r w:rsidRPr="00AD1221">
        <w:rPr>
          <w:rFonts w:ascii="Times New Roman" w:hAnsi="Times New Roman" w:cs="Times New Roman"/>
        </w:rPr>
        <w:t xml:space="preserve"> </w:t>
      </w:r>
    </w:p>
    <w:p w14:paraId="69F17CA1" w14:textId="77777777" w:rsidR="00AD1221" w:rsidRDefault="00AD1221" w:rsidP="00C84082">
      <w:pPr>
        <w:rPr>
          <w:rStyle w:val="Strong"/>
          <w:rFonts w:ascii="Times New Roman" w:hAnsi="Times New Roman" w:cs="Times New Roman"/>
        </w:rPr>
      </w:pPr>
    </w:p>
    <w:p w14:paraId="73F50634" w14:textId="77777777" w:rsidR="00AD1221" w:rsidRDefault="00AD1221" w:rsidP="00C84082">
      <w:pPr>
        <w:rPr>
          <w:rStyle w:val="Strong"/>
          <w:rFonts w:ascii="Times New Roman" w:hAnsi="Times New Roman" w:cs="Times New Roman"/>
        </w:rPr>
      </w:pPr>
    </w:p>
    <w:p w14:paraId="73591669" w14:textId="04015227" w:rsidR="00AD1221" w:rsidRDefault="00AD1221" w:rsidP="00C84082">
      <w:pPr>
        <w:rPr>
          <w:rStyle w:val="Strong"/>
          <w:rFonts w:ascii="Times New Roman" w:hAnsi="Times New Roman" w:cs="Times New Roman"/>
        </w:rPr>
      </w:pPr>
      <w:r>
        <w:rPr>
          <w:rStyle w:val="Strong"/>
          <w:rFonts w:ascii="Times New Roman" w:hAnsi="Times New Roman" w:cs="Times New Roman"/>
        </w:rPr>
        <w:t>SUPPORTING MATERIAL</w:t>
      </w:r>
    </w:p>
    <w:p w14:paraId="76A03126" w14:textId="77777777" w:rsidR="00AD1221" w:rsidRDefault="00AD1221" w:rsidP="00C84082">
      <w:pPr>
        <w:rPr>
          <w:rStyle w:val="Strong"/>
          <w:rFonts w:ascii="Times New Roman" w:hAnsi="Times New Roman" w:cs="Times New Roman"/>
        </w:rPr>
      </w:pPr>
    </w:p>
    <w:p w14:paraId="294F298C" w14:textId="3BBDACEF" w:rsidR="00C84082" w:rsidRPr="00F86C4C" w:rsidRDefault="00C84082" w:rsidP="00C84082">
      <w:pPr>
        <w:rPr>
          <w:rStyle w:val="Strong"/>
          <w:rFonts w:ascii="Times New Roman" w:hAnsi="Times New Roman" w:cs="Times New Roman"/>
        </w:rPr>
      </w:pPr>
      <w:r w:rsidRPr="00F86C4C">
        <w:rPr>
          <w:rStyle w:val="Strong"/>
          <w:rFonts w:ascii="Times New Roman" w:hAnsi="Times New Roman" w:cs="Times New Roman"/>
        </w:rPr>
        <w:br w:type="page"/>
      </w:r>
    </w:p>
    <w:p w14:paraId="5CF9AF0F" w14:textId="77777777" w:rsidR="00C84082" w:rsidRPr="00F86C4C" w:rsidRDefault="00C84082" w:rsidP="00C84082">
      <w:pPr>
        <w:rPr>
          <w:rStyle w:val="Strong"/>
          <w:rFonts w:ascii="Times New Roman" w:hAnsi="Times New Roman" w:cs="Times New Roman"/>
        </w:rPr>
      </w:pPr>
      <w:r w:rsidRPr="00F86C4C">
        <w:rPr>
          <w:rFonts w:ascii="Times New Roman" w:hAnsi="Times New Roman" w:cs="Times New Roman"/>
          <w:b/>
          <w:bCs/>
          <w:noProof/>
        </w:rPr>
        <w:lastRenderedPageBreak/>
        <w:drawing>
          <wp:inline distT="0" distB="0" distL="0" distR="0" wp14:anchorId="7F6A452E" wp14:editId="3CBA7EBC">
            <wp:extent cx="6337300" cy="4224655"/>
            <wp:effectExtent l="0" t="0" r="0" b="4445"/>
            <wp:docPr id="230326574" name="Picture 1" descr="A graph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26574" name="Picture 1" descr="A graph of a box&#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337300" cy="4224655"/>
                    </a:xfrm>
                    <a:prstGeom prst="rect">
                      <a:avLst/>
                    </a:prstGeom>
                  </pic:spPr>
                </pic:pic>
              </a:graphicData>
            </a:graphic>
          </wp:inline>
        </w:drawing>
      </w:r>
    </w:p>
    <w:p w14:paraId="71BDAC10" w14:textId="4C65F057" w:rsidR="00C84082" w:rsidRPr="00F86C4C" w:rsidRDefault="00C84082" w:rsidP="00C84082">
      <w:pPr>
        <w:rPr>
          <w:rFonts w:ascii="Times New Roman" w:hAnsi="Times New Roman" w:cs="Times New Roman"/>
        </w:rPr>
      </w:pPr>
      <w:r w:rsidRPr="00F86C4C">
        <w:rPr>
          <w:rStyle w:val="Strong"/>
          <w:rFonts w:ascii="Times New Roman" w:hAnsi="Times New Roman" w:cs="Times New Roman"/>
        </w:rPr>
        <w:t>Figure S1.</w:t>
      </w:r>
      <w:r w:rsidRPr="00F86C4C">
        <w:rPr>
          <w:rFonts w:ascii="Times New Roman" w:hAnsi="Times New Roman" w:cs="Times New Roman"/>
        </w:rPr>
        <w:t xml:space="preserve"> </w:t>
      </w:r>
      <w:r w:rsidR="00AD1221">
        <w:rPr>
          <w:rFonts w:ascii="Times New Roman" w:hAnsi="Times New Roman" w:cs="Times New Roman"/>
        </w:rPr>
        <w:t xml:space="preserve"> </w:t>
      </w:r>
      <w:r w:rsidRPr="00F86C4C">
        <w:rPr>
          <w:rStyle w:val="Emphasis"/>
          <w:rFonts w:ascii="Times New Roman" w:hAnsi="Times New Roman" w:cs="Times New Roman"/>
          <w:b/>
          <w:bCs/>
        </w:rPr>
        <w:t>Boxplot comparison of DockQ scores for Ternary vs Complete AlphaFold3 predictions</w:t>
      </w:r>
      <w:r w:rsidRPr="00F86C4C">
        <w:rPr>
          <w:rStyle w:val="Emphasis"/>
          <w:rFonts w:ascii="Times New Roman" w:hAnsi="Times New Roman" w:cs="Times New Roman"/>
        </w:rPr>
        <w:t>.</w:t>
      </w:r>
      <w:r w:rsidRPr="00F86C4C">
        <w:rPr>
          <w:rFonts w:ascii="Times New Roman" w:hAnsi="Times New Roman" w:cs="Times New Roman"/>
        </w:rPr>
        <w:t xml:space="preserve"> Each native complex is represented along the x-axis, with DockQ score distributions shown for Ternary (blue) and Complete (orange) models. Complete models consistently achieve higher scores, frequently entering the high-quality prediction range (DockQ &gt; 0.8).</w:t>
      </w:r>
    </w:p>
    <w:p w14:paraId="147EC4F2" w14:textId="77777777" w:rsidR="00C84082" w:rsidRPr="00F86C4C" w:rsidRDefault="00C84082" w:rsidP="00C84082">
      <w:pPr>
        <w:rPr>
          <w:rFonts w:ascii="Times New Roman" w:hAnsi="Times New Roman" w:cs="Times New Roman"/>
        </w:rPr>
      </w:pPr>
    </w:p>
    <w:p w14:paraId="5E563760" w14:textId="77777777" w:rsidR="00C84082" w:rsidRPr="00F86C4C" w:rsidRDefault="00C84082" w:rsidP="00C84082">
      <w:pPr>
        <w:rPr>
          <w:rFonts w:ascii="Times New Roman" w:hAnsi="Times New Roman" w:cs="Times New Roman"/>
        </w:rPr>
      </w:pPr>
    </w:p>
    <w:p w14:paraId="2C97584F" w14:textId="77777777" w:rsidR="00C84082" w:rsidRPr="00F86C4C" w:rsidRDefault="00C84082" w:rsidP="00C84082">
      <w:pPr>
        <w:rPr>
          <w:rFonts w:ascii="Times New Roman" w:hAnsi="Times New Roman" w:cs="Times New Roman"/>
        </w:rPr>
      </w:pPr>
      <w:r w:rsidRPr="00F86C4C">
        <w:rPr>
          <w:rFonts w:ascii="Times New Roman" w:hAnsi="Times New Roman" w:cs="Times New Roman"/>
          <w:noProof/>
        </w:rPr>
        <w:lastRenderedPageBreak/>
        <w:drawing>
          <wp:inline distT="0" distB="0" distL="0" distR="0" wp14:anchorId="5E0AB61E" wp14:editId="5BF986FF">
            <wp:extent cx="6337300" cy="4224655"/>
            <wp:effectExtent l="0" t="0" r="0" b="4445"/>
            <wp:docPr id="1978774478" name="Picture 2" descr="A graph of a number of sco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74478" name="Picture 2" descr="A graph of a number of score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6337300" cy="4224655"/>
                    </a:xfrm>
                    <a:prstGeom prst="rect">
                      <a:avLst/>
                    </a:prstGeom>
                  </pic:spPr>
                </pic:pic>
              </a:graphicData>
            </a:graphic>
          </wp:inline>
        </w:drawing>
      </w:r>
    </w:p>
    <w:p w14:paraId="4523A0E5" w14:textId="4FB0CAEE" w:rsidR="00C84082" w:rsidRPr="00F86C4C" w:rsidRDefault="00C84082" w:rsidP="00C84082">
      <w:pPr>
        <w:spacing w:before="100" w:beforeAutospacing="1" w:after="100" w:afterAutospacing="1"/>
        <w:rPr>
          <w:rFonts w:ascii="Times New Roman" w:hAnsi="Times New Roman" w:cs="Times New Roman"/>
        </w:rPr>
      </w:pPr>
      <w:r w:rsidRPr="00F86C4C">
        <w:rPr>
          <w:rStyle w:val="Strong"/>
          <w:rFonts w:ascii="Times New Roman" w:hAnsi="Times New Roman" w:cs="Times New Roman"/>
        </w:rPr>
        <w:t>Figure S2.</w:t>
      </w:r>
      <w:r w:rsidRPr="00F86C4C">
        <w:rPr>
          <w:rFonts w:ascii="Times New Roman" w:hAnsi="Times New Roman" w:cs="Times New Roman"/>
        </w:rPr>
        <w:t xml:space="preserve"> </w:t>
      </w:r>
      <w:r w:rsidR="00AD1221">
        <w:rPr>
          <w:rFonts w:ascii="Times New Roman" w:hAnsi="Times New Roman" w:cs="Times New Roman"/>
        </w:rPr>
        <w:t xml:space="preserve"> </w:t>
      </w:r>
      <w:r w:rsidRPr="00F86C4C">
        <w:rPr>
          <w:rStyle w:val="Emphasis"/>
          <w:rFonts w:ascii="Times New Roman" w:hAnsi="Times New Roman" w:cs="Times New Roman"/>
          <w:b/>
          <w:bCs/>
        </w:rPr>
        <w:t>Pairwise line comparison of median DockQ scores for each native complex.</w:t>
      </w:r>
      <w:r w:rsidRPr="00F86C4C">
        <w:rPr>
          <w:rFonts w:ascii="Times New Roman" w:hAnsi="Times New Roman" w:cs="Times New Roman"/>
          <w:b/>
          <w:bCs/>
        </w:rPr>
        <w:t xml:space="preserve"> </w:t>
      </w:r>
      <w:r w:rsidRPr="00F86C4C">
        <w:rPr>
          <w:rFonts w:ascii="Times New Roman" w:hAnsi="Times New Roman" w:cs="Times New Roman"/>
        </w:rPr>
        <w:t>Lines connect the median DockQ values for Ternary (blue solid line) and Complete (orange solid line) models across all benchmark structures. The large vertical deltas highlight systematic improvement across the dataset, with 89% (32/36) of complexes favoring the Complete configuration.</w:t>
      </w:r>
    </w:p>
    <w:p w14:paraId="02E05500" w14:textId="77777777" w:rsidR="00C84082" w:rsidRPr="00F86C4C" w:rsidRDefault="00C84082" w:rsidP="00C84082">
      <w:pPr>
        <w:spacing w:before="100" w:beforeAutospacing="1" w:after="100" w:afterAutospacing="1"/>
        <w:rPr>
          <w:rFonts w:ascii="Times New Roman" w:hAnsi="Times New Roman" w:cs="Times New Roman"/>
        </w:rPr>
      </w:pPr>
    </w:p>
    <w:p w14:paraId="73299260" w14:textId="77777777" w:rsidR="00C84082" w:rsidRPr="00F86C4C" w:rsidRDefault="00C84082" w:rsidP="00C84082">
      <w:pPr>
        <w:spacing w:before="100" w:beforeAutospacing="1" w:after="100" w:afterAutospacing="1"/>
        <w:rPr>
          <w:rFonts w:ascii="Times New Roman" w:hAnsi="Times New Roman" w:cs="Times New Roman"/>
        </w:rPr>
      </w:pPr>
      <w:r w:rsidRPr="00F86C4C">
        <w:rPr>
          <w:rFonts w:ascii="Times New Roman" w:hAnsi="Times New Roman" w:cs="Times New Roman"/>
          <w:noProof/>
        </w:rPr>
        <w:lastRenderedPageBreak/>
        <w:drawing>
          <wp:inline distT="0" distB="0" distL="0" distR="0" wp14:anchorId="0EBCC646" wp14:editId="599CD92C">
            <wp:extent cx="6337300" cy="4224655"/>
            <wp:effectExtent l="0" t="0" r="0" b="4445"/>
            <wp:docPr id="1276366802" name="Picture 3"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66802" name="Picture 3" descr="A graph of a number of data&#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337300" cy="4224655"/>
                    </a:xfrm>
                    <a:prstGeom prst="rect">
                      <a:avLst/>
                    </a:prstGeom>
                  </pic:spPr>
                </pic:pic>
              </a:graphicData>
            </a:graphic>
          </wp:inline>
        </w:drawing>
      </w:r>
    </w:p>
    <w:p w14:paraId="1CE1619E" w14:textId="41B961A2"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b/>
          <w:bCs/>
          <w:kern w:val="0"/>
          <w14:ligatures w14:val="none"/>
        </w:rPr>
        <w:t>Figure S3.</w:t>
      </w:r>
      <w:r w:rsidRPr="00F86C4C">
        <w:rPr>
          <w:rFonts w:ascii="Times New Roman" w:eastAsia="Times New Roman" w:hAnsi="Times New Roman" w:cs="Times New Roman"/>
          <w:kern w:val="0"/>
          <w14:ligatures w14:val="none"/>
        </w:rPr>
        <w:t xml:space="preserve"> </w:t>
      </w:r>
      <w:r w:rsidR="00AD1221">
        <w:rPr>
          <w:rFonts w:ascii="Times New Roman" w:eastAsia="Times New Roman" w:hAnsi="Times New Roman" w:cs="Times New Roman"/>
          <w:kern w:val="0"/>
          <w14:ligatures w14:val="none"/>
        </w:rPr>
        <w:t xml:space="preserve"> </w:t>
      </w:r>
      <w:r w:rsidRPr="00F86C4C">
        <w:rPr>
          <w:rFonts w:ascii="Times New Roman" w:eastAsia="Times New Roman" w:hAnsi="Times New Roman" w:cs="Times New Roman"/>
          <w:b/>
          <w:bCs/>
          <w:i/>
          <w:iCs/>
          <w:kern w:val="0"/>
          <w14:ligatures w14:val="none"/>
        </w:rPr>
        <w:t>Swarm plot comparison of DockQ scores between Ternary and Complete models</w:t>
      </w:r>
      <w:r w:rsidRPr="00F86C4C">
        <w:rPr>
          <w:rFonts w:ascii="Times New Roman" w:eastAsia="Times New Roman" w:hAnsi="Times New Roman" w:cs="Times New Roman"/>
          <w:i/>
          <w:iCs/>
          <w:kern w:val="0"/>
          <w14:ligatures w14:val="none"/>
        </w:rPr>
        <w:t xml:space="preserve">. </w:t>
      </w:r>
      <w:r w:rsidRPr="00F86C4C">
        <w:rPr>
          <w:rFonts w:ascii="Times New Roman" w:eastAsia="Times New Roman" w:hAnsi="Times New Roman" w:cs="Times New Roman"/>
          <w:kern w:val="0"/>
          <w14:ligatures w14:val="none"/>
        </w:rPr>
        <w:t>Each dot represents an individual model’s DockQ score. Diamonds indicate cluster centers for each modeling group. The swarm structure reveals both the magnitude and consistency of DockQ improvements in Complete models, reinforcing their advantage over isolated Ternary predictions in accurately reproducing crystallographic interfaces.</w:t>
      </w:r>
    </w:p>
    <w:p w14:paraId="0D6AB4A8"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p>
    <w:p w14:paraId="51A144BB" w14:textId="7FE357EB"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noProof/>
          <w:kern w:val="0"/>
        </w:rPr>
        <w:lastRenderedPageBreak/>
        <w:drawing>
          <wp:inline distT="0" distB="0" distL="0" distR="0" wp14:anchorId="0C47314C" wp14:editId="223AD926">
            <wp:extent cx="6337300" cy="3810000"/>
            <wp:effectExtent l="0" t="0" r="0" b="0"/>
            <wp:docPr id="353530844" name="Picture 4"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30844" name="Picture 4" descr="A graph of different color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337300" cy="3810000"/>
                    </a:xfrm>
                    <a:prstGeom prst="rect">
                      <a:avLst/>
                    </a:prstGeom>
                  </pic:spPr>
                </pic:pic>
              </a:graphicData>
            </a:graphic>
          </wp:inline>
        </w:drawing>
      </w:r>
      <w:r w:rsidRPr="00F86C4C">
        <w:rPr>
          <w:rStyle w:val="Heading9Char"/>
          <w:rFonts w:ascii="Times New Roman" w:hAnsi="Times New Roman" w:cs="Times New Roman"/>
        </w:rPr>
        <w:t xml:space="preserve"> </w:t>
      </w:r>
      <w:r w:rsidRPr="00F86C4C">
        <w:rPr>
          <w:rStyle w:val="Strong"/>
          <w:rFonts w:ascii="Times New Roman" w:hAnsi="Times New Roman" w:cs="Times New Roman"/>
        </w:rPr>
        <w:t>Figure S4.</w:t>
      </w:r>
      <w:r w:rsidRPr="00F86C4C">
        <w:rPr>
          <w:rFonts w:ascii="Times New Roman" w:hAnsi="Times New Roman" w:cs="Times New Roman"/>
        </w:rPr>
        <w:t xml:space="preserve"> </w:t>
      </w:r>
      <w:r w:rsidR="00AD1221">
        <w:rPr>
          <w:rFonts w:ascii="Times New Roman" w:hAnsi="Times New Roman" w:cs="Times New Roman"/>
        </w:rPr>
        <w:t xml:space="preserve"> </w:t>
      </w:r>
      <w:r w:rsidRPr="00F86C4C">
        <w:rPr>
          <w:rStyle w:val="Emphasis"/>
          <w:rFonts w:ascii="Times New Roman" w:hAnsi="Times New Roman" w:cs="Times New Roman"/>
          <w:b/>
          <w:bCs/>
        </w:rPr>
        <w:t>Heatmap of per-complex differences in median DockQ scores between Complete and Ternary predictions.</w:t>
      </w:r>
      <w:r w:rsidRPr="00F86C4C">
        <w:rPr>
          <w:rFonts w:ascii="Times New Roman" w:hAnsi="Times New Roman" w:cs="Times New Roman"/>
        </w:rPr>
        <w:t xml:space="preserve"> This heatmap represents the difference (Complete – Ternary) in median DockQ for each of the 36 native structures. Shades of red indicate improved performance by the Complete models, with deeper reds reflecting greater improvement. Very few complexes showed marginal or negative differences, underscoring the consistent advantage of Complete modeling.</w:t>
      </w:r>
    </w:p>
    <w:p w14:paraId="32D6A083"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p>
    <w:p w14:paraId="6ED88E9D"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p>
    <w:p w14:paraId="04E412C0"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noProof/>
          <w:kern w:val="0"/>
        </w:rPr>
        <w:lastRenderedPageBreak/>
        <w:drawing>
          <wp:inline distT="0" distB="0" distL="0" distR="0" wp14:anchorId="46A9448C" wp14:editId="66B77C1C">
            <wp:extent cx="6337300" cy="3802380"/>
            <wp:effectExtent l="0" t="0" r="0" b="0"/>
            <wp:docPr id="381854099" name="Picture 5" descr="A graph of a scatter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54099" name="Picture 5" descr="A graph of a scatter plo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p>
    <w:p w14:paraId="3CB01103" w14:textId="7DC21850"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Style w:val="Strong"/>
          <w:rFonts w:ascii="Times New Roman" w:hAnsi="Times New Roman" w:cs="Times New Roman"/>
        </w:rPr>
        <w:t>Figure S5.</w:t>
      </w:r>
      <w:r w:rsidRPr="00F86C4C">
        <w:rPr>
          <w:rFonts w:ascii="Times New Roman" w:hAnsi="Times New Roman" w:cs="Times New Roman"/>
        </w:rPr>
        <w:t xml:space="preserve"> </w:t>
      </w:r>
      <w:r w:rsidR="00AD1221">
        <w:rPr>
          <w:rFonts w:ascii="Times New Roman" w:hAnsi="Times New Roman" w:cs="Times New Roman"/>
        </w:rPr>
        <w:t xml:space="preserve"> </w:t>
      </w:r>
      <w:r w:rsidRPr="00F86C4C">
        <w:rPr>
          <w:rStyle w:val="Emphasis"/>
          <w:rFonts w:ascii="Times New Roman" w:hAnsi="Times New Roman" w:cs="Times New Roman"/>
          <w:b/>
          <w:bCs/>
        </w:rPr>
        <w:t>Scatter plot of individual DockQ scores for all models grouped by native structure.</w:t>
      </w:r>
      <w:r w:rsidRPr="00F86C4C">
        <w:rPr>
          <w:rFonts w:ascii="Times New Roman" w:hAnsi="Times New Roman" w:cs="Times New Roman"/>
          <w:b/>
          <w:bCs/>
        </w:rPr>
        <w:br/>
      </w:r>
      <w:r w:rsidRPr="00F86C4C">
        <w:rPr>
          <w:rFonts w:ascii="Times New Roman" w:hAnsi="Times New Roman" w:cs="Times New Roman"/>
        </w:rPr>
        <w:t>Ternary and Complete model scores are plotted as blue circles and orange squares, respectively. Complete models cluster tightly at higher DockQ values across nearly all systems, while Ternary scores remain broadly dispersed and typically lower, suggesting reduced reliability and higher variance in minimal-context predictions.</w:t>
      </w:r>
    </w:p>
    <w:p w14:paraId="498981F2" w14:textId="77777777" w:rsidR="00C84082" w:rsidRPr="00F86C4C" w:rsidRDefault="00C84082" w:rsidP="00C84082">
      <w:pPr>
        <w:rPr>
          <w:rFonts w:ascii="Times New Roman" w:hAnsi="Times New Roman" w:cs="Times New Roman"/>
        </w:rPr>
      </w:pPr>
    </w:p>
    <w:p w14:paraId="3B4B034C" w14:textId="77777777" w:rsidR="00C84082" w:rsidRPr="00F86C4C" w:rsidRDefault="00C84082" w:rsidP="00C84082">
      <w:pPr>
        <w:rPr>
          <w:rFonts w:ascii="Times New Roman" w:hAnsi="Times New Roman" w:cs="Times New Roman"/>
        </w:rPr>
      </w:pPr>
    </w:p>
    <w:p w14:paraId="47CA410B" w14:textId="77777777" w:rsidR="00C84082" w:rsidRPr="00F86C4C" w:rsidRDefault="00C84082" w:rsidP="00C84082">
      <w:pPr>
        <w:rPr>
          <w:rFonts w:ascii="Times New Roman" w:hAnsi="Times New Roman" w:cs="Times New Roman"/>
        </w:rPr>
      </w:pPr>
    </w:p>
    <w:p w14:paraId="352E12F2" w14:textId="77777777" w:rsidR="00C84082" w:rsidRPr="00F86C4C" w:rsidRDefault="00C84082" w:rsidP="00C84082">
      <w:pPr>
        <w:rPr>
          <w:rFonts w:ascii="Times New Roman" w:hAnsi="Times New Roman" w:cs="Times New Roman"/>
        </w:rPr>
      </w:pPr>
    </w:p>
    <w:p w14:paraId="4399A07C" w14:textId="77777777" w:rsidR="00C84082" w:rsidRPr="00F86C4C" w:rsidRDefault="00C84082" w:rsidP="00C84082">
      <w:pPr>
        <w:rPr>
          <w:rFonts w:ascii="Times New Roman" w:hAnsi="Times New Roman" w:cs="Times New Roman"/>
        </w:rPr>
      </w:pPr>
      <w:r w:rsidRPr="00F86C4C">
        <w:rPr>
          <w:rFonts w:ascii="Times New Roman" w:hAnsi="Times New Roman" w:cs="Times New Roman"/>
          <w:noProof/>
        </w:rPr>
        <w:lastRenderedPageBreak/>
        <w:drawing>
          <wp:inline distT="0" distB="0" distL="0" distR="0" wp14:anchorId="2821226D" wp14:editId="6D81C812">
            <wp:extent cx="6337300" cy="3152140"/>
            <wp:effectExtent l="0" t="0" r="0" b="0"/>
            <wp:docPr id="406933252" name="Picture 6"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33252" name="Picture 6" descr="A graph of different colored squar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7300" cy="3152140"/>
                    </a:xfrm>
                    <a:prstGeom prst="rect">
                      <a:avLst/>
                    </a:prstGeom>
                  </pic:spPr>
                </pic:pic>
              </a:graphicData>
            </a:graphic>
          </wp:inline>
        </w:drawing>
      </w:r>
    </w:p>
    <w:p w14:paraId="77AE9554" w14:textId="1A2BA5AF" w:rsidR="00C84082" w:rsidRPr="00F86C4C" w:rsidRDefault="00C84082" w:rsidP="00C84082">
      <w:pPr>
        <w:spacing w:before="100" w:beforeAutospacing="1" w:after="100" w:afterAutospacing="1"/>
        <w:outlineLvl w:val="2"/>
        <w:rPr>
          <w:rFonts w:ascii="Times New Roman" w:eastAsia="Times New Roman" w:hAnsi="Times New Roman" w:cs="Times New Roman"/>
          <w:kern w:val="0"/>
          <w14:ligatures w14:val="none"/>
        </w:rPr>
      </w:pPr>
      <w:r w:rsidRPr="00F86C4C">
        <w:rPr>
          <w:rFonts w:ascii="Times New Roman" w:eastAsia="Times New Roman" w:hAnsi="Times New Roman" w:cs="Times New Roman"/>
          <w:b/>
          <w:bCs/>
          <w:kern w:val="0"/>
          <w14:ligatures w14:val="none"/>
        </w:rPr>
        <w:t xml:space="preserve">Figure S6. </w:t>
      </w:r>
      <w:r w:rsidR="00AD1221">
        <w:rPr>
          <w:rFonts w:ascii="Times New Roman" w:eastAsia="Times New Roman" w:hAnsi="Times New Roman" w:cs="Times New Roman"/>
          <w:b/>
          <w:bCs/>
          <w:kern w:val="0"/>
          <w14:ligatures w14:val="none"/>
        </w:rPr>
        <w:t xml:space="preserve"> </w:t>
      </w:r>
      <w:r w:rsidRPr="00F86C4C">
        <w:rPr>
          <w:rFonts w:ascii="Times New Roman" w:eastAsia="Times New Roman" w:hAnsi="Times New Roman" w:cs="Times New Roman"/>
          <w:b/>
          <w:bCs/>
          <w:kern w:val="0"/>
          <w14:ligatures w14:val="none"/>
        </w:rPr>
        <w:t xml:space="preserve">Box plot comparison of DockQ scores between unmodified Complete and stripped Complete* model predictions across 36 ternary complexes. </w:t>
      </w:r>
      <w:r w:rsidRPr="00F86C4C">
        <w:rPr>
          <w:rFonts w:ascii="Times New Roman" w:eastAsia="Times New Roman" w:hAnsi="Times New Roman" w:cs="Times New Roman"/>
          <w:kern w:val="0"/>
          <w14:ligatures w14:val="none"/>
        </w:rPr>
        <w:t xml:space="preserve">Each complex is shown along the x-axis, with boxplots summarizing the distribution of DockQ scores before (orange) and after (green) removing auxiliary non-ligase subunits such as </w:t>
      </w:r>
      <w:proofErr w:type="spellStart"/>
      <w:r w:rsidRPr="00F86C4C">
        <w:rPr>
          <w:rFonts w:ascii="Times New Roman" w:eastAsia="Times New Roman" w:hAnsi="Times New Roman" w:cs="Times New Roman"/>
          <w:kern w:val="0"/>
          <w14:ligatures w14:val="none"/>
        </w:rPr>
        <w:t>Elongin</w:t>
      </w:r>
      <w:proofErr w:type="spellEnd"/>
      <w:r w:rsidRPr="00F86C4C">
        <w:rPr>
          <w:rFonts w:ascii="Times New Roman" w:eastAsia="Times New Roman" w:hAnsi="Times New Roman" w:cs="Times New Roman"/>
          <w:kern w:val="0"/>
          <w14:ligatures w14:val="none"/>
        </w:rPr>
        <w:t xml:space="preserve"> B/C. The broad reduction in DockQ values across most complexes reveals the substantial contribution of these subunits to the predictive accuracy of AlphaFold3. Notably, the largest drop-offs are seen in complexes like 8BEB and 7KHH where </w:t>
      </w:r>
      <w:proofErr w:type="spellStart"/>
      <w:r w:rsidRPr="00F86C4C">
        <w:rPr>
          <w:rFonts w:ascii="Times New Roman" w:eastAsia="Times New Roman" w:hAnsi="Times New Roman" w:cs="Times New Roman"/>
          <w:kern w:val="0"/>
          <w14:ligatures w14:val="none"/>
        </w:rPr>
        <w:t>Elongin</w:t>
      </w:r>
      <w:proofErr w:type="spellEnd"/>
      <w:r w:rsidRPr="00F86C4C">
        <w:rPr>
          <w:rFonts w:ascii="Times New Roman" w:eastAsia="Times New Roman" w:hAnsi="Times New Roman" w:cs="Times New Roman"/>
          <w:kern w:val="0"/>
          <w14:ligatures w14:val="none"/>
        </w:rPr>
        <w:t xml:space="preserve"> B/C form significant structural contacts.</w:t>
      </w:r>
    </w:p>
    <w:p w14:paraId="7FA3A103" w14:textId="77777777" w:rsidR="00C84082" w:rsidRPr="00F86C4C" w:rsidRDefault="00C84082" w:rsidP="00C84082">
      <w:pPr>
        <w:spacing w:before="100" w:beforeAutospacing="1" w:after="100" w:afterAutospacing="1"/>
        <w:outlineLvl w:val="2"/>
        <w:rPr>
          <w:rFonts w:ascii="Times New Roman" w:eastAsia="Times New Roman" w:hAnsi="Times New Roman" w:cs="Times New Roman"/>
          <w:kern w:val="0"/>
          <w14:ligatures w14:val="none"/>
        </w:rPr>
      </w:pPr>
    </w:p>
    <w:p w14:paraId="4364E6B4" w14:textId="77777777" w:rsidR="00C84082" w:rsidRPr="00F86C4C" w:rsidRDefault="00C84082" w:rsidP="00C84082">
      <w:pPr>
        <w:spacing w:before="100" w:beforeAutospacing="1" w:after="100" w:afterAutospacing="1"/>
        <w:outlineLvl w:val="2"/>
        <w:rPr>
          <w:rFonts w:ascii="Times New Roman" w:eastAsia="Times New Roman" w:hAnsi="Times New Roman" w:cs="Times New Roman"/>
          <w:kern w:val="0"/>
          <w14:ligatures w14:val="none"/>
        </w:rPr>
      </w:pPr>
    </w:p>
    <w:p w14:paraId="10F34F8D" w14:textId="77777777" w:rsidR="00C84082" w:rsidRPr="00F86C4C" w:rsidRDefault="00C84082" w:rsidP="00C84082">
      <w:pPr>
        <w:spacing w:before="100" w:beforeAutospacing="1" w:after="100" w:afterAutospacing="1"/>
        <w:outlineLvl w:val="2"/>
        <w:rPr>
          <w:rFonts w:ascii="Times New Roman" w:eastAsia="Times New Roman" w:hAnsi="Times New Roman" w:cs="Times New Roman"/>
          <w:kern w:val="0"/>
          <w14:ligatures w14:val="none"/>
        </w:rPr>
      </w:pPr>
      <w:r w:rsidRPr="00F86C4C">
        <w:rPr>
          <w:rFonts w:ascii="Times New Roman" w:eastAsia="Times New Roman" w:hAnsi="Times New Roman" w:cs="Times New Roman"/>
          <w:noProof/>
          <w:kern w:val="0"/>
        </w:rPr>
        <w:lastRenderedPageBreak/>
        <w:drawing>
          <wp:inline distT="0" distB="0" distL="0" distR="0" wp14:anchorId="20031D09" wp14:editId="327D97D8">
            <wp:extent cx="6337300" cy="3773805"/>
            <wp:effectExtent l="0" t="0" r="0" b="0"/>
            <wp:docPr id="1583799798" name="Picture 7" descr="A graph with green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9798" name="Picture 7" descr="A graph with green and orange lin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337300" cy="3773805"/>
                    </a:xfrm>
                    <a:prstGeom prst="rect">
                      <a:avLst/>
                    </a:prstGeom>
                  </pic:spPr>
                </pic:pic>
              </a:graphicData>
            </a:graphic>
          </wp:inline>
        </w:drawing>
      </w:r>
    </w:p>
    <w:p w14:paraId="613F84A0" w14:textId="177FDE5A" w:rsidR="00C84082" w:rsidRPr="00F86C4C" w:rsidRDefault="00C84082" w:rsidP="00C84082">
      <w:pPr>
        <w:spacing w:before="100" w:beforeAutospacing="1" w:after="100" w:afterAutospacing="1"/>
        <w:outlineLvl w:val="2"/>
        <w:rPr>
          <w:rFonts w:ascii="Times New Roman" w:eastAsia="Times New Roman" w:hAnsi="Times New Roman" w:cs="Times New Roman"/>
          <w:b/>
          <w:bCs/>
          <w:kern w:val="0"/>
          <w14:ligatures w14:val="none"/>
        </w:rPr>
      </w:pPr>
      <w:r w:rsidRPr="00F86C4C">
        <w:rPr>
          <w:rFonts w:ascii="Times New Roman" w:eastAsia="Times New Roman" w:hAnsi="Times New Roman" w:cs="Times New Roman"/>
          <w:b/>
          <w:bCs/>
          <w:kern w:val="0"/>
          <w14:ligatures w14:val="none"/>
        </w:rPr>
        <w:t xml:space="preserve">Figure S7. </w:t>
      </w:r>
      <w:r w:rsidR="00AD1221">
        <w:rPr>
          <w:rFonts w:ascii="Times New Roman" w:eastAsia="Times New Roman" w:hAnsi="Times New Roman" w:cs="Times New Roman"/>
          <w:b/>
          <w:bCs/>
          <w:kern w:val="0"/>
          <w14:ligatures w14:val="none"/>
        </w:rPr>
        <w:t xml:space="preserve"> </w:t>
      </w:r>
      <w:r w:rsidRPr="00F86C4C">
        <w:rPr>
          <w:rFonts w:ascii="Times New Roman" w:eastAsia="Times New Roman" w:hAnsi="Times New Roman" w:cs="Times New Roman"/>
          <w:b/>
          <w:bCs/>
          <w:kern w:val="0"/>
          <w14:ligatures w14:val="none"/>
        </w:rPr>
        <w:t xml:space="preserve">Cumulative distribution function (CDF) of DockQ scores across all models and all ternary complexes for Complete and Complete* </w:t>
      </w:r>
      <w:proofErr w:type="spellStart"/>
      <w:proofErr w:type="gramStart"/>
      <w:r w:rsidRPr="00F86C4C">
        <w:rPr>
          <w:rFonts w:ascii="Times New Roman" w:eastAsia="Times New Roman" w:hAnsi="Times New Roman" w:cs="Times New Roman"/>
          <w:b/>
          <w:bCs/>
          <w:kern w:val="0"/>
          <w14:ligatures w14:val="none"/>
        </w:rPr>
        <w:t>predictions.</w:t>
      </w:r>
      <w:r w:rsidRPr="00F86C4C">
        <w:rPr>
          <w:rFonts w:ascii="Times New Roman" w:eastAsia="Times New Roman" w:hAnsi="Times New Roman" w:cs="Times New Roman"/>
          <w:kern w:val="0"/>
          <w14:ligatures w14:val="none"/>
        </w:rPr>
        <w:t>The</w:t>
      </w:r>
      <w:proofErr w:type="spellEnd"/>
      <w:proofErr w:type="gramEnd"/>
      <w:r w:rsidRPr="00F86C4C">
        <w:rPr>
          <w:rFonts w:ascii="Times New Roman" w:eastAsia="Times New Roman" w:hAnsi="Times New Roman" w:cs="Times New Roman"/>
          <w:kern w:val="0"/>
          <w14:ligatures w14:val="none"/>
        </w:rPr>
        <w:t xml:space="preserve"> CDFs visualize the global shift in model quality following structure cleaning. The steep leftward shift in the Complete* curve (green) indicates a higher proportion of low-scoring models after cofactor removal. In contrast, the Complete models (orange) maintain a more gradual accumulation with a tail of high-scoring predictions, further supporting the importance of including biological context.</w:t>
      </w:r>
    </w:p>
    <w:p w14:paraId="5CCFD500" w14:textId="77777777" w:rsidR="00C84082" w:rsidRPr="00F86C4C" w:rsidRDefault="00C84082" w:rsidP="00C84082">
      <w:pPr>
        <w:spacing w:before="100" w:beforeAutospacing="1" w:after="100" w:afterAutospacing="1"/>
        <w:outlineLvl w:val="2"/>
        <w:rPr>
          <w:rFonts w:ascii="Times New Roman" w:eastAsia="Times New Roman" w:hAnsi="Times New Roman" w:cs="Times New Roman"/>
          <w:b/>
          <w:bCs/>
          <w:kern w:val="0"/>
          <w14:ligatures w14:val="none"/>
        </w:rPr>
      </w:pPr>
    </w:p>
    <w:p w14:paraId="2C2B49E7" w14:textId="1F81E9E1" w:rsidR="00C84082" w:rsidRPr="00F86C4C" w:rsidRDefault="00C84082" w:rsidP="00C84082">
      <w:pPr>
        <w:spacing w:before="100" w:beforeAutospacing="1" w:after="100" w:afterAutospacing="1"/>
        <w:outlineLvl w:val="2"/>
        <w:rPr>
          <w:rFonts w:ascii="Times New Roman" w:eastAsia="Times New Roman" w:hAnsi="Times New Roman" w:cs="Times New Roman"/>
          <w:b/>
          <w:bCs/>
          <w:kern w:val="0"/>
          <w14:ligatures w14:val="none"/>
        </w:rPr>
      </w:pPr>
      <w:r w:rsidRPr="00F86C4C">
        <w:rPr>
          <w:rFonts w:ascii="Times New Roman" w:eastAsia="Times New Roman" w:hAnsi="Times New Roman" w:cs="Times New Roman"/>
          <w:b/>
          <w:bCs/>
          <w:noProof/>
          <w:kern w:val="0"/>
        </w:rPr>
        <w:lastRenderedPageBreak/>
        <w:drawing>
          <wp:inline distT="0" distB="0" distL="0" distR="0" wp14:anchorId="17370E71" wp14:editId="3631B7C7">
            <wp:extent cx="6337300" cy="3773805"/>
            <wp:effectExtent l="0" t="0" r="0" b="0"/>
            <wp:docPr id="1325683915" name="Picture 8" descr="A graph with green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83915" name="Picture 8" descr="A graph with green and orange ba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337300" cy="3773805"/>
                    </a:xfrm>
                    <a:prstGeom prst="rect">
                      <a:avLst/>
                    </a:prstGeom>
                  </pic:spPr>
                </pic:pic>
              </a:graphicData>
            </a:graphic>
          </wp:inline>
        </w:drawing>
      </w:r>
      <w:r w:rsidRPr="00F86C4C">
        <w:rPr>
          <w:rFonts w:ascii="Times New Roman" w:eastAsia="Times New Roman" w:hAnsi="Times New Roman" w:cs="Times New Roman"/>
          <w:b/>
          <w:bCs/>
          <w:kern w:val="0"/>
          <w14:ligatures w14:val="none"/>
        </w:rPr>
        <w:t xml:space="preserve">Figure S8. </w:t>
      </w:r>
      <w:r w:rsidR="00AD1221">
        <w:rPr>
          <w:rFonts w:ascii="Times New Roman" w:eastAsia="Times New Roman" w:hAnsi="Times New Roman" w:cs="Times New Roman"/>
          <w:b/>
          <w:bCs/>
          <w:kern w:val="0"/>
          <w14:ligatures w14:val="none"/>
        </w:rPr>
        <w:t xml:space="preserve"> </w:t>
      </w:r>
      <w:r w:rsidRPr="00F86C4C">
        <w:rPr>
          <w:rFonts w:ascii="Times New Roman" w:eastAsia="Times New Roman" w:hAnsi="Times New Roman" w:cs="Times New Roman"/>
          <w:b/>
          <w:bCs/>
          <w:kern w:val="0"/>
          <w14:ligatures w14:val="none"/>
        </w:rPr>
        <w:t xml:space="preserve">Normalized Histogram of DockQ Scores Across Binned Ranges (Per Group). </w:t>
      </w:r>
      <w:r w:rsidRPr="00F86C4C">
        <w:rPr>
          <w:rFonts w:ascii="Times New Roman" w:eastAsia="Times New Roman" w:hAnsi="Times New Roman" w:cs="Times New Roman"/>
          <w:kern w:val="0"/>
          <w14:ligatures w14:val="none"/>
        </w:rPr>
        <w:t xml:space="preserve">The histogram shows the distribution of DockQ scores for AlphaFold-predicted complexes before (Complete, orange) and after (Complete*, green) cleaning, binned in intervals of 0.1. For each group, the y-axis represents the </w:t>
      </w:r>
      <w:r w:rsidRPr="00F86C4C">
        <w:rPr>
          <w:rFonts w:ascii="Times New Roman" w:eastAsia="Times New Roman" w:hAnsi="Times New Roman" w:cs="Times New Roman"/>
          <w:b/>
          <w:bCs/>
          <w:kern w:val="0"/>
          <w14:ligatures w14:val="none"/>
        </w:rPr>
        <w:t>fraction of models</w:t>
      </w:r>
      <w:r w:rsidRPr="00F86C4C">
        <w:rPr>
          <w:rFonts w:ascii="Times New Roman" w:eastAsia="Times New Roman" w:hAnsi="Times New Roman" w:cs="Times New Roman"/>
          <w:kern w:val="0"/>
          <w14:ligatures w14:val="none"/>
        </w:rPr>
        <w:t xml:space="preserve"> that fall into each bin, normalized </w:t>
      </w:r>
      <w:r w:rsidRPr="00F86C4C">
        <w:rPr>
          <w:rFonts w:ascii="Times New Roman" w:eastAsia="Times New Roman" w:hAnsi="Times New Roman" w:cs="Times New Roman"/>
          <w:b/>
          <w:bCs/>
          <w:kern w:val="0"/>
          <w14:ligatures w14:val="none"/>
        </w:rPr>
        <w:t>independently per group</w:t>
      </w:r>
      <w:r w:rsidRPr="00F86C4C">
        <w:rPr>
          <w:rFonts w:ascii="Times New Roman" w:eastAsia="Times New Roman" w:hAnsi="Times New Roman" w:cs="Times New Roman"/>
          <w:kern w:val="0"/>
          <w14:ligatures w14:val="none"/>
        </w:rPr>
        <w:t xml:space="preserve"> so that the total area under each histogram sums to 1.0. This normalization allows direct comparison of distribution shapes across groups.</w:t>
      </w:r>
    </w:p>
    <w:p w14:paraId="13BEE1C9" w14:textId="77777777" w:rsidR="00C84082" w:rsidRPr="00F86C4C" w:rsidRDefault="00C84082" w:rsidP="00C84082">
      <w:pPr>
        <w:rPr>
          <w:rFonts w:ascii="Times New Roman" w:hAnsi="Times New Roman" w:cs="Times New Roman"/>
        </w:rPr>
      </w:pPr>
    </w:p>
    <w:p w14:paraId="1CE89EB5" w14:textId="77777777" w:rsidR="00C84082" w:rsidRPr="00F86C4C" w:rsidRDefault="00C84082" w:rsidP="00C84082">
      <w:pPr>
        <w:rPr>
          <w:rFonts w:ascii="Times New Roman" w:hAnsi="Times New Roman" w:cs="Times New Roman"/>
        </w:rPr>
      </w:pPr>
    </w:p>
    <w:p w14:paraId="231D528F" w14:textId="77777777" w:rsidR="00C84082" w:rsidRPr="00F86C4C" w:rsidRDefault="00C84082" w:rsidP="00C84082">
      <w:pPr>
        <w:rPr>
          <w:rFonts w:ascii="Times New Roman" w:hAnsi="Times New Roman" w:cs="Times New Roman"/>
        </w:rPr>
      </w:pPr>
    </w:p>
    <w:p w14:paraId="36F4F265" w14:textId="77777777" w:rsidR="00C84082" w:rsidRPr="00F86C4C" w:rsidRDefault="00C84082" w:rsidP="00C84082">
      <w:pPr>
        <w:rPr>
          <w:rFonts w:ascii="Times New Roman" w:hAnsi="Times New Roman" w:cs="Times New Roman"/>
        </w:rPr>
      </w:pPr>
    </w:p>
    <w:p w14:paraId="6E03DA3D" w14:textId="77777777" w:rsidR="00C84082" w:rsidRPr="00F86C4C" w:rsidRDefault="00C84082" w:rsidP="00C84082">
      <w:pPr>
        <w:rPr>
          <w:rFonts w:ascii="Times New Roman" w:hAnsi="Times New Roman" w:cs="Times New Roman"/>
        </w:rPr>
      </w:pPr>
    </w:p>
    <w:p w14:paraId="24D8564A"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noProof/>
          <w:kern w:val="0"/>
        </w:rPr>
        <w:lastRenderedPageBreak/>
        <w:drawing>
          <wp:inline distT="0" distB="0" distL="0" distR="0" wp14:anchorId="2C642602" wp14:editId="1912F6F7">
            <wp:extent cx="6337300" cy="2693670"/>
            <wp:effectExtent l="0" t="0" r="0" b="0"/>
            <wp:docPr id="1073362271" name="Picture 9" descr="A red bar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2271" name="Picture 9" descr="A red barcode on a white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337300" cy="2693670"/>
                    </a:xfrm>
                    <a:prstGeom prst="rect">
                      <a:avLst/>
                    </a:prstGeom>
                  </pic:spPr>
                </pic:pic>
              </a:graphicData>
            </a:graphic>
          </wp:inline>
        </w:drawing>
      </w:r>
    </w:p>
    <w:p w14:paraId="1A731F97" w14:textId="55F625A4" w:rsidR="00C84082" w:rsidRDefault="00C84082" w:rsidP="00C84082">
      <w:pPr>
        <w:spacing w:before="100" w:beforeAutospacing="1" w:after="100" w:afterAutospacing="1"/>
        <w:outlineLvl w:val="2"/>
        <w:rPr>
          <w:rFonts w:ascii="Times New Roman" w:eastAsia="Times New Roman" w:hAnsi="Times New Roman" w:cs="Times New Roman"/>
          <w:kern w:val="0"/>
          <w14:ligatures w14:val="none"/>
        </w:rPr>
      </w:pPr>
      <w:r w:rsidRPr="00F86C4C">
        <w:rPr>
          <w:rFonts w:ascii="Times New Roman" w:eastAsia="Times New Roman" w:hAnsi="Times New Roman" w:cs="Times New Roman"/>
          <w:b/>
          <w:bCs/>
          <w:kern w:val="0"/>
          <w14:ligatures w14:val="none"/>
        </w:rPr>
        <w:t xml:space="preserve">Figure S9. </w:t>
      </w:r>
      <w:r w:rsidR="00AD1221">
        <w:rPr>
          <w:rFonts w:ascii="Times New Roman" w:eastAsia="Times New Roman" w:hAnsi="Times New Roman" w:cs="Times New Roman"/>
          <w:b/>
          <w:bCs/>
          <w:kern w:val="0"/>
          <w14:ligatures w14:val="none"/>
        </w:rPr>
        <w:t xml:space="preserve"> </w:t>
      </w:r>
      <w:r w:rsidRPr="00F86C4C">
        <w:rPr>
          <w:rFonts w:ascii="Times New Roman" w:eastAsia="Times New Roman" w:hAnsi="Times New Roman" w:cs="Times New Roman"/>
          <w:b/>
          <w:bCs/>
          <w:kern w:val="0"/>
          <w14:ligatures w14:val="none"/>
        </w:rPr>
        <w:t xml:space="preserve">Per-model DockQ change following removal of cofactors from Complete complexes (Complete* – Complete). </w:t>
      </w:r>
      <w:r w:rsidRPr="00F86C4C">
        <w:rPr>
          <w:rFonts w:ascii="Times New Roman" w:eastAsia="Times New Roman" w:hAnsi="Times New Roman" w:cs="Times New Roman"/>
          <w:kern w:val="0"/>
          <w14:ligatures w14:val="none"/>
        </w:rPr>
        <w:t>Each vertical bar represents a model, colored by direction of change: red for negative (performance drop), green for positive (improvement). Nearly all bars fall below zero, highlighting the consistency of degradation across models after stripping accessory proteins. This figure confirms that improvements observed in the Complete models are not spurious but tied to meaningful interface contributions.</w:t>
      </w:r>
    </w:p>
    <w:p w14:paraId="5CB32FC9" w14:textId="77777777" w:rsidR="00AD1221" w:rsidRPr="00F86C4C" w:rsidRDefault="00AD1221" w:rsidP="00C84082">
      <w:pPr>
        <w:spacing w:before="100" w:beforeAutospacing="1" w:after="100" w:afterAutospacing="1"/>
        <w:outlineLvl w:val="2"/>
        <w:rPr>
          <w:rFonts w:ascii="Times New Roman" w:eastAsia="Times New Roman" w:hAnsi="Times New Roman" w:cs="Times New Roman"/>
          <w:b/>
          <w:bCs/>
          <w:kern w:val="0"/>
          <w14:ligatures w14:val="none"/>
        </w:rPr>
      </w:pPr>
    </w:p>
    <w:p w14:paraId="4D8F9B01"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noProof/>
          <w:kern w:val="0"/>
        </w:rPr>
        <w:drawing>
          <wp:inline distT="0" distB="0" distL="0" distR="0" wp14:anchorId="07992C37" wp14:editId="1A41DC3A">
            <wp:extent cx="6337300" cy="2693670"/>
            <wp:effectExtent l="0" t="0" r="0" b="0"/>
            <wp:docPr id="1259269131" name="Picture 10"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9131" name="Picture 10" descr="A graph of a bar graph&#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337300" cy="2693670"/>
                    </a:xfrm>
                    <a:prstGeom prst="rect">
                      <a:avLst/>
                    </a:prstGeom>
                  </pic:spPr>
                </pic:pic>
              </a:graphicData>
            </a:graphic>
          </wp:inline>
        </w:drawing>
      </w:r>
    </w:p>
    <w:p w14:paraId="193A4337" w14:textId="613D1EAA" w:rsidR="00C84082" w:rsidRPr="00F86C4C" w:rsidRDefault="00C84082" w:rsidP="00C84082">
      <w:pPr>
        <w:spacing w:before="100" w:beforeAutospacing="1" w:after="100" w:afterAutospacing="1"/>
        <w:outlineLvl w:val="2"/>
        <w:rPr>
          <w:rFonts w:ascii="Times New Roman" w:eastAsia="Times New Roman" w:hAnsi="Times New Roman" w:cs="Times New Roman"/>
          <w:kern w:val="0"/>
          <w14:ligatures w14:val="none"/>
        </w:rPr>
      </w:pPr>
      <w:r w:rsidRPr="00F86C4C">
        <w:rPr>
          <w:rFonts w:ascii="Times New Roman" w:eastAsia="Times New Roman" w:hAnsi="Times New Roman" w:cs="Times New Roman"/>
          <w:b/>
          <w:bCs/>
          <w:kern w:val="0"/>
          <w14:ligatures w14:val="none"/>
        </w:rPr>
        <w:t xml:space="preserve">Figure S10. </w:t>
      </w:r>
      <w:r w:rsidR="00AD1221">
        <w:rPr>
          <w:rFonts w:ascii="Times New Roman" w:eastAsia="Times New Roman" w:hAnsi="Times New Roman" w:cs="Times New Roman"/>
          <w:b/>
          <w:bCs/>
          <w:kern w:val="0"/>
          <w14:ligatures w14:val="none"/>
        </w:rPr>
        <w:t xml:space="preserve"> </w:t>
      </w:r>
      <w:r w:rsidRPr="00F86C4C">
        <w:rPr>
          <w:rFonts w:ascii="Times New Roman" w:eastAsia="Times New Roman" w:hAnsi="Times New Roman" w:cs="Times New Roman"/>
          <w:b/>
          <w:bCs/>
          <w:kern w:val="0"/>
          <w14:ligatures w14:val="none"/>
        </w:rPr>
        <w:t xml:space="preserve">Median DockQ change per native complex after model cleaning. </w:t>
      </w:r>
      <w:r w:rsidRPr="00F86C4C">
        <w:rPr>
          <w:rFonts w:ascii="Times New Roman" w:eastAsia="Times New Roman" w:hAnsi="Times New Roman" w:cs="Times New Roman"/>
          <w:kern w:val="0"/>
          <w14:ligatures w14:val="none"/>
        </w:rPr>
        <w:t xml:space="preserve">For each structure, the difference in </w:t>
      </w:r>
      <w:r w:rsidRPr="00F86C4C">
        <w:rPr>
          <w:rFonts w:ascii="Times New Roman" w:eastAsia="Times New Roman" w:hAnsi="Times New Roman" w:cs="Times New Roman"/>
          <w:b/>
          <w:bCs/>
          <w:kern w:val="0"/>
          <w14:ligatures w14:val="none"/>
        </w:rPr>
        <w:t>median</w:t>
      </w:r>
      <w:r w:rsidRPr="00F86C4C">
        <w:rPr>
          <w:rFonts w:ascii="Times New Roman" w:eastAsia="Times New Roman" w:hAnsi="Times New Roman" w:cs="Times New Roman"/>
          <w:kern w:val="0"/>
          <w14:ligatures w14:val="none"/>
        </w:rPr>
        <w:t xml:space="preserve"> DockQ between Complete* and Complete models is shown (Complete* – Complete). Most complexes show a large drop (red bars), indicating that the predictive benefit of cofactors is reproducible across models for a given system. Only a few structures exhibit neutral or slightly positive changes, likely due to non-interacting cofactors or minimal rearrangement.</w:t>
      </w:r>
    </w:p>
    <w:p w14:paraId="6B316441" w14:textId="77777777" w:rsidR="00C84082" w:rsidRPr="00F86C4C" w:rsidRDefault="00C84082" w:rsidP="00C84082">
      <w:pPr>
        <w:spacing w:before="100" w:beforeAutospacing="1" w:after="100" w:afterAutospacing="1"/>
        <w:outlineLvl w:val="2"/>
        <w:rPr>
          <w:rFonts w:ascii="Times New Roman" w:eastAsia="Times New Roman" w:hAnsi="Times New Roman" w:cs="Times New Roman"/>
          <w:b/>
          <w:bCs/>
          <w:kern w:val="0"/>
          <w14:ligatures w14:val="none"/>
        </w:rPr>
      </w:pPr>
    </w:p>
    <w:p w14:paraId="60DFF232" w14:textId="00CE4823" w:rsidR="00C84082" w:rsidRDefault="00C84082" w:rsidP="00C84082">
      <w:pPr>
        <w:spacing w:before="100" w:beforeAutospacing="1" w:after="100" w:afterAutospacing="1"/>
        <w:outlineLvl w:val="2"/>
        <w:rPr>
          <w:rFonts w:ascii="Times New Roman" w:eastAsia="Times New Roman" w:hAnsi="Times New Roman" w:cs="Times New Roman"/>
          <w:kern w:val="0"/>
          <w14:ligatures w14:val="none"/>
        </w:rPr>
      </w:pPr>
      <w:r w:rsidRPr="00F86C4C">
        <w:rPr>
          <w:rFonts w:ascii="Times New Roman" w:hAnsi="Times New Roman" w:cs="Times New Roman"/>
          <w:noProof/>
        </w:rPr>
        <w:lastRenderedPageBreak/>
        <w:drawing>
          <wp:inline distT="0" distB="0" distL="0" distR="0" wp14:anchorId="6BAA50EB" wp14:editId="7FEF3BE2">
            <wp:extent cx="6337300" cy="3606165"/>
            <wp:effectExtent l="0" t="0" r="0" b="635"/>
            <wp:docPr id="2055864869" name="Picture 1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64869" name="Picture 11" descr="A screen shot of a graph&#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337300" cy="3606165"/>
                    </a:xfrm>
                    <a:prstGeom prst="rect">
                      <a:avLst/>
                    </a:prstGeom>
                  </pic:spPr>
                </pic:pic>
              </a:graphicData>
            </a:graphic>
          </wp:inline>
        </w:drawing>
      </w:r>
      <w:r w:rsidRPr="00F86C4C">
        <w:rPr>
          <w:rFonts w:ascii="Times New Roman" w:eastAsia="Times New Roman" w:hAnsi="Times New Roman" w:cs="Times New Roman"/>
          <w:b/>
          <w:bCs/>
          <w:kern w:val="0"/>
          <w14:ligatures w14:val="none"/>
        </w:rPr>
        <w:t xml:space="preserve"> Figure S11. </w:t>
      </w:r>
      <w:r w:rsidR="00AD1221">
        <w:rPr>
          <w:rFonts w:ascii="Times New Roman" w:eastAsia="Times New Roman" w:hAnsi="Times New Roman" w:cs="Times New Roman"/>
          <w:b/>
          <w:bCs/>
          <w:kern w:val="0"/>
          <w14:ligatures w14:val="none"/>
        </w:rPr>
        <w:t xml:space="preserve"> </w:t>
      </w:r>
      <w:r w:rsidRPr="00F86C4C">
        <w:rPr>
          <w:rFonts w:ascii="Times New Roman" w:eastAsia="Times New Roman" w:hAnsi="Times New Roman" w:cs="Times New Roman"/>
          <w:b/>
          <w:bCs/>
          <w:kern w:val="0"/>
          <w14:ligatures w14:val="none"/>
        </w:rPr>
        <w:t xml:space="preserve">Scatter plot of individual model DockQ scores for Complete and Complete* predictions across all benchmark systems. </w:t>
      </w:r>
      <w:r w:rsidRPr="00F86C4C">
        <w:rPr>
          <w:rFonts w:ascii="Times New Roman" w:eastAsia="Times New Roman" w:hAnsi="Times New Roman" w:cs="Times New Roman"/>
          <w:kern w:val="0"/>
          <w14:ligatures w14:val="none"/>
        </w:rPr>
        <w:t>Each point represents a model, color-coded by condition (orange for Complete, green for Complete*). The vertical alignment shows models within the same native system. A clear separation is evident, with Complete* models clustering toward lower DockQ scores, reinforcing the role of multimeric context in improving predictive fidelity of AF3.</w:t>
      </w:r>
    </w:p>
    <w:p w14:paraId="0A5B4740" w14:textId="77777777" w:rsidR="00C84082" w:rsidRPr="00F86C4C" w:rsidRDefault="00C84082" w:rsidP="00AD1221">
      <w:pPr>
        <w:snapToGrid w:val="0"/>
        <w:spacing w:before="100" w:beforeAutospacing="1" w:after="0" w:line="240" w:lineRule="auto"/>
        <w:rPr>
          <w:rFonts w:ascii="Times New Roman" w:eastAsia="Times New Roman" w:hAnsi="Times New Roman" w:cs="Times New Roman"/>
          <w:b/>
          <w:bCs/>
          <w:kern w:val="0"/>
          <w14:ligatures w14:val="none"/>
        </w:rPr>
      </w:pPr>
      <w:r w:rsidRPr="00F86C4C">
        <w:rPr>
          <w:rFonts w:ascii="Times New Roman" w:hAnsi="Times New Roman" w:cs="Times New Roman"/>
          <w:noProof/>
        </w:rPr>
        <w:drawing>
          <wp:inline distT="0" distB="0" distL="0" distR="0" wp14:anchorId="17D93854" wp14:editId="714455E2">
            <wp:extent cx="6337300" cy="3621405"/>
            <wp:effectExtent l="0" t="0" r="0" b="0"/>
            <wp:docPr id="384054540" name="Picture 1"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54540" name="Picture 1" descr="A graph with numbers and symbol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337300" cy="3621405"/>
                    </a:xfrm>
                    <a:prstGeom prst="rect">
                      <a:avLst/>
                    </a:prstGeom>
                  </pic:spPr>
                </pic:pic>
              </a:graphicData>
            </a:graphic>
          </wp:inline>
        </w:drawing>
      </w:r>
    </w:p>
    <w:p w14:paraId="6AC928FB" w14:textId="211A5562" w:rsidR="00C84082" w:rsidRPr="00F86C4C" w:rsidRDefault="00C84082" w:rsidP="00AD1221">
      <w:pPr>
        <w:snapToGrid w:val="0"/>
        <w:spacing w:after="0"/>
        <w:rPr>
          <w:rFonts w:ascii="Times New Roman" w:eastAsia="Times New Roman" w:hAnsi="Times New Roman" w:cs="Times New Roman"/>
          <w:kern w:val="0"/>
          <w14:ligatures w14:val="none"/>
        </w:rPr>
      </w:pPr>
      <w:r w:rsidRPr="00F86C4C">
        <w:rPr>
          <w:rFonts w:ascii="Times New Roman" w:eastAsia="Times New Roman" w:hAnsi="Times New Roman" w:cs="Times New Roman"/>
          <w:b/>
          <w:bCs/>
          <w:kern w:val="0"/>
          <w14:ligatures w14:val="none"/>
        </w:rPr>
        <w:t>Figure S12.</w:t>
      </w:r>
      <w:r w:rsidRPr="00F86C4C">
        <w:rPr>
          <w:rFonts w:ascii="Times New Roman" w:eastAsia="Times New Roman" w:hAnsi="Times New Roman" w:cs="Times New Roman"/>
          <w:kern w:val="0"/>
          <w14:ligatures w14:val="none"/>
        </w:rPr>
        <w:t xml:space="preserve"> </w:t>
      </w:r>
      <w:r w:rsidR="00AD1221">
        <w:rPr>
          <w:rFonts w:ascii="Times New Roman" w:eastAsia="Times New Roman" w:hAnsi="Times New Roman" w:cs="Times New Roman"/>
          <w:kern w:val="0"/>
          <w14:ligatures w14:val="none"/>
        </w:rPr>
        <w:t xml:space="preserve"> </w:t>
      </w:r>
      <w:r w:rsidRPr="00F86C4C">
        <w:rPr>
          <w:rFonts w:ascii="Times New Roman" w:eastAsia="Times New Roman" w:hAnsi="Times New Roman" w:cs="Times New Roman"/>
          <w:b/>
          <w:bCs/>
          <w:kern w:val="0"/>
          <w14:ligatures w14:val="none"/>
        </w:rPr>
        <w:t>DockQ dot plot showing individual model scores per crystal structure.</w:t>
      </w:r>
      <w:r w:rsidRPr="00F86C4C">
        <w:rPr>
          <w:rFonts w:ascii="Times New Roman" w:eastAsia="Times New Roman" w:hAnsi="Times New Roman" w:cs="Times New Roman"/>
          <w:kern w:val="0"/>
          <w14:ligatures w14:val="none"/>
        </w:rPr>
        <w:t xml:space="preserve"> </w:t>
      </w:r>
      <w:proofErr w:type="spellStart"/>
      <w:r w:rsidRPr="00F86C4C">
        <w:rPr>
          <w:rFonts w:ascii="Times New Roman" w:eastAsia="Times New Roman" w:hAnsi="Times New Roman" w:cs="Times New Roman"/>
          <w:kern w:val="0"/>
          <w14:ligatures w14:val="none"/>
        </w:rPr>
        <w:t>PRosettaC</w:t>
      </w:r>
      <w:proofErr w:type="spellEnd"/>
      <w:r w:rsidRPr="00F86C4C">
        <w:rPr>
          <w:rFonts w:ascii="Times New Roman" w:eastAsia="Times New Roman" w:hAnsi="Times New Roman" w:cs="Times New Roman"/>
          <w:kern w:val="0"/>
          <w14:ligatures w14:val="none"/>
        </w:rPr>
        <w:t xml:space="preserve"> predictions span a wide range, including many high-fidelity outliers not achieved by AF3 methods.</w:t>
      </w:r>
    </w:p>
    <w:p w14:paraId="2F373BE4" w14:textId="77777777" w:rsidR="00C84082" w:rsidRPr="00F86C4C" w:rsidRDefault="00C84082" w:rsidP="00C84082">
      <w:pPr>
        <w:spacing w:before="100" w:beforeAutospacing="1" w:after="100" w:afterAutospacing="1"/>
        <w:rPr>
          <w:rFonts w:ascii="Times New Roman" w:eastAsia="Times New Roman" w:hAnsi="Times New Roman" w:cs="Times New Roman"/>
          <w:b/>
          <w:bCs/>
          <w:kern w:val="0"/>
          <w14:ligatures w14:val="none"/>
        </w:rPr>
      </w:pPr>
      <w:r w:rsidRPr="00F86C4C">
        <w:rPr>
          <w:rFonts w:ascii="Times New Roman" w:hAnsi="Times New Roman" w:cs="Times New Roman"/>
          <w:noProof/>
        </w:rPr>
        <w:lastRenderedPageBreak/>
        <w:drawing>
          <wp:inline distT="0" distB="0" distL="0" distR="0" wp14:anchorId="13B5E39B" wp14:editId="43E95F3E">
            <wp:extent cx="6337300" cy="3168650"/>
            <wp:effectExtent l="0" t="0" r="0" b="6350"/>
            <wp:docPr id="1133033569" name="Picture 17" descr="A chart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33569" name="Picture 17" descr="A chart with different colors and number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337300" cy="3168650"/>
                    </a:xfrm>
                    <a:prstGeom prst="rect">
                      <a:avLst/>
                    </a:prstGeom>
                  </pic:spPr>
                </pic:pic>
              </a:graphicData>
            </a:graphic>
          </wp:inline>
        </w:drawing>
      </w:r>
    </w:p>
    <w:p w14:paraId="75015C36" w14:textId="1C23B66E"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b/>
          <w:bCs/>
          <w:kern w:val="0"/>
          <w14:ligatures w14:val="none"/>
        </w:rPr>
        <w:t>Figure S13.</w:t>
      </w:r>
      <w:r w:rsidRPr="00F86C4C">
        <w:rPr>
          <w:rFonts w:ascii="Times New Roman" w:eastAsia="Times New Roman" w:hAnsi="Times New Roman" w:cs="Times New Roman"/>
          <w:kern w:val="0"/>
          <w14:ligatures w14:val="none"/>
        </w:rPr>
        <w:t xml:space="preserve"> </w:t>
      </w:r>
      <w:r w:rsidR="00AD1221">
        <w:rPr>
          <w:rFonts w:ascii="Times New Roman" w:eastAsia="Times New Roman" w:hAnsi="Times New Roman" w:cs="Times New Roman"/>
          <w:kern w:val="0"/>
          <w14:ligatures w14:val="none"/>
        </w:rPr>
        <w:t xml:space="preserve"> </w:t>
      </w:r>
      <w:r w:rsidRPr="00F86C4C">
        <w:rPr>
          <w:rFonts w:ascii="Times New Roman" w:eastAsia="Times New Roman" w:hAnsi="Times New Roman" w:cs="Times New Roman"/>
          <w:b/>
          <w:bCs/>
          <w:kern w:val="0"/>
          <w14:ligatures w14:val="none"/>
        </w:rPr>
        <w:t>Method rank per crystal structure based on median DockQ.</w:t>
      </w:r>
      <w:r w:rsidRPr="00F86C4C">
        <w:rPr>
          <w:rFonts w:ascii="Times New Roman" w:eastAsia="Times New Roman" w:hAnsi="Times New Roman" w:cs="Times New Roman"/>
          <w:kern w:val="0"/>
          <w14:ligatures w14:val="none"/>
        </w:rPr>
        <w:t xml:space="preserve"> Ranks were computed such that 1 = best, 3 = worst. </w:t>
      </w:r>
      <w:proofErr w:type="spellStart"/>
      <w:r w:rsidRPr="00F86C4C">
        <w:rPr>
          <w:rFonts w:ascii="Times New Roman" w:eastAsia="Times New Roman" w:hAnsi="Times New Roman" w:cs="Times New Roman"/>
          <w:kern w:val="0"/>
          <w14:ligatures w14:val="none"/>
        </w:rPr>
        <w:t>PRosettaC</w:t>
      </w:r>
      <w:proofErr w:type="spellEnd"/>
      <w:r w:rsidRPr="00F86C4C">
        <w:rPr>
          <w:rFonts w:ascii="Times New Roman" w:eastAsia="Times New Roman" w:hAnsi="Times New Roman" w:cs="Times New Roman"/>
          <w:kern w:val="0"/>
          <w14:ligatures w14:val="none"/>
        </w:rPr>
        <w:t xml:space="preserve"> frequently ranks first, but AF3 methods outperform it in certain systems. **For crystal structure 8BDT, a tie in scoring occurred between </w:t>
      </w:r>
      <w:proofErr w:type="gramStart"/>
      <w:r w:rsidRPr="00F86C4C">
        <w:rPr>
          <w:rFonts w:ascii="Times New Roman" w:eastAsia="Times New Roman" w:hAnsi="Times New Roman" w:cs="Times New Roman"/>
          <w:kern w:val="0"/>
          <w14:ligatures w14:val="none"/>
        </w:rPr>
        <w:t>both of the AF3</w:t>
      </w:r>
      <w:proofErr w:type="gramEnd"/>
      <w:r w:rsidRPr="00F86C4C">
        <w:rPr>
          <w:rFonts w:ascii="Times New Roman" w:eastAsia="Times New Roman" w:hAnsi="Times New Roman" w:cs="Times New Roman"/>
          <w:kern w:val="0"/>
          <w14:ligatures w14:val="none"/>
        </w:rPr>
        <w:t xml:space="preserve"> methodologies resulting in a 1.5 (indicating a ‘tie’ for second place). </w:t>
      </w:r>
    </w:p>
    <w:p w14:paraId="15DB2570" w14:textId="77777777" w:rsidR="00C84082" w:rsidRPr="00F86C4C" w:rsidRDefault="00C84082" w:rsidP="00C84082">
      <w:pPr>
        <w:rPr>
          <w:rFonts w:ascii="Times New Roman" w:hAnsi="Times New Roman" w:cs="Times New Roman"/>
        </w:rPr>
      </w:pPr>
      <w:r w:rsidRPr="00F86C4C">
        <w:rPr>
          <w:rFonts w:ascii="Times New Roman" w:hAnsi="Times New Roman" w:cs="Times New Roman"/>
          <w:noProof/>
        </w:rPr>
        <w:drawing>
          <wp:inline distT="0" distB="0" distL="0" distR="0" wp14:anchorId="6AF7A543" wp14:editId="659FA454">
            <wp:extent cx="6337300" cy="3802380"/>
            <wp:effectExtent l="0" t="0" r="0" b="0"/>
            <wp:docPr id="1676409776" name="Picture 3" descr="A graph of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09776" name="Picture 3" descr="A graph of a ba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p>
    <w:p w14:paraId="1337E659" w14:textId="5E5EE238" w:rsidR="00C84082" w:rsidRPr="00F86C4C" w:rsidRDefault="00C84082" w:rsidP="00C84082">
      <w:pPr>
        <w:rPr>
          <w:rFonts w:ascii="Times New Roman" w:eastAsia="Times New Roman" w:hAnsi="Times New Roman" w:cs="Times New Roman"/>
          <w:kern w:val="0"/>
          <w14:ligatures w14:val="none"/>
        </w:rPr>
      </w:pPr>
      <w:r w:rsidRPr="00F86C4C">
        <w:rPr>
          <w:rFonts w:ascii="Times New Roman" w:eastAsia="Times New Roman" w:hAnsi="Times New Roman" w:cs="Times New Roman"/>
          <w:b/>
          <w:bCs/>
          <w:kern w:val="0"/>
          <w14:ligatures w14:val="none"/>
        </w:rPr>
        <w:t>Figure S14.</w:t>
      </w:r>
      <w:r w:rsidRPr="00F86C4C">
        <w:rPr>
          <w:rFonts w:ascii="Times New Roman" w:eastAsia="Times New Roman" w:hAnsi="Times New Roman" w:cs="Times New Roman"/>
          <w:kern w:val="0"/>
          <w14:ligatures w14:val="none"/>
        </w:rPr>
        <w:t xml:space="preserve"> </w:t>
      </w:r>
      <w:r w:rsidR="00AD1221">
        <w:rPr>
          <w:rFonts w:ascii="Times New Roman" w:eastAsia="Times New Roman" w:hAnsi="Times New Roman" w:cs="Times New Roman"/>
          <w:kern w:val="0"/>
          <w14:ligatures w14:val="none"/>
        </w:rPr>
        <w:t xml:space="preserve"> </w:t>
      </w:r>
      <w:r w:rsidRPr="00F86C4C">
        <w:rPr>
          <w:rFonts w:ascii="Times New Roman" w:eastAsia="Times New Roman" w:hAnsi="Times New Roman" w:cs="Times New Roman"/>
          <w:b/>
          <w:bCs/>
          <w:kern w:val="0"/>
          <w14:ligatures w14:val="none"/>
        </w:rPr>
        <w:t>Stacked bar plot summarizing method ranks across 25 benchmark targets.</w:t>
      </w:r>
      <w:r w:rsidRPr="00F86C4C">
        <w:rPr>
          <w:rFonts w:ascii="Times New Roman" w:eastAsia="Times New Roman" w:hAnsi="Times New Roman" w:cs="Times New Roman"/>
          <w:kern w:val="0"/>
          <w14:ligatures w14:val="none"/>
        </w:rPr>
        <w:t xml:space="preserve"> </w:t>
      </w:r>
      <w:proofErr w:type="spellStart"/>
      <w:r w:rsidRPr="00F86C4C">
        <w:rPr>
          <w:rFonts w:ascii="Times New Roman" w:eastAsia="Times New Roman" w:hAnsi="Times New Roman" w:cs="Times New Roman"/>
          <w:kern w:val="0"/>
          <w14:ligatures w14:val="none"/>
        </w:rPr>
        <w:t>PRosettaC</w:t>
      </w:r>
      <w:proofErr w:type="spellEnd"/>
      <w:r w:rsidRPr="00F86C4C">
        <w:rPr>
          <w:rFonts w:ascii="Times New Roman" w:eastAsia="Times New Roman" w:hAnsi="Times New Roman" w:cs="Times New Roman"/>
          <w:kern w:val="0"/>
          <w14:ligatures w14:val="none"/>
        </w:rPr>
        <w:t xml:space="preserve"> secured the top spot most frequently, followed by AF3 Ternary and Complete*. **For crystal structure 8BDT, a tie in scoring occurred between </w:t>
      </w:r>
      <w:proofErr w:type="gramStart"/>
      <w:r w:rsidRPr="00F86C4C">
        <w:rPr>
          <w:rFonts w:ascii="Times New Roman" w:eastAsia="Times New Roman" w:hAnsi="Times New Roman" w:cs="Times New Roman"/>
          <w:kern w:val="0"/>
          <w14:ligatures w14:val="none"/>
        </w:rPr>
        <w:t>both of the AF3</w:t>
      </w:r>
      <w:proofErr w:type="gramEnd"/>
      <w:r w:rsidRPr="00F86C4C">
        <w:rPr>
          <w:rFonts w:ascii="Times New Roman" w:eastAsia="Times New Roman" w:hAnsi="Times New Roman" w:cs="Times New Roman"/>
          <w:kern w:val="0"/>
          <w14:ligatures w14:val="none"/>
        </w:rPr>
        <w:t xml:space="preserve"> methodologies resulting in a 1.5 (indicating a ‘tie’ for second place).</w:t>
      </w:r>
    </w:p>
    <w:p w14:paraId="482420CD" w14:textId="76177B54" w:rsidR="00C84082"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noProof/>
          <w:kern w:val="0"/>
        </w:rPr>
        <w:lastRenderedPageBreak/>
        <w:drawing>
          <wp:inline distT="0" distB="0" distL="0" distR="0" wp14:anchorId="488608F4" wp14:editId="591262BD">
            <wp:extent cx="6337300" cy="3802380"/>
            <wp:effectExtent l="0" t="0" r="0" b="0"/>
            <wp:docPr id="2101508328" name="Picture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08328" name="Picture 2" descr="A graph of a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r w:rsidRPr="00F86C4C">
        <w:rPr>
          <w:rStyle w:val="PlaceholderText"/>
          <w:rFonts w:ascii="Times New Roman" w:hAnsi="Times New Roman" w:cs="Times New Roman"/>
        </w:rPr>
        <w:t xml:space="preserve"> </w:t>
      </w:r>
      <w:r w:rsidRPr="00F86C4C">
        <w:rPr>
          <w:rFonts w:ascii="Times New Roman" w:eastAsia="Times New Roman" w:hAnsi="Times New Roman" w:cs="Times New Roman"/>
          <w:b/>
          <w:bCs/>
          <w:kern w:val="0"/>
          <w14:ligatures w14:val="none"/>
        </w:rPr>
        <w:t xml:space="preserve">Figure S15. </w:t>
      </w:r>
      <w:r w:rsidR="00AD1221">
        <w:rPr>
          <w:rFonts w:ascii="Times New Roman" w:eastAsia="Times New Roman" w:hAnsi="Times New Roman" w:cs="Times New Roman"/>
          <w:b/>
          <w:bCs/>
          <w:kern w:val="0"/>
          <w14:ligatures w14:val="none"/>
        </w:rPr>
        <w:t xml:space="preserve"> </w:t>
      </w:r>
      <w:r w:rsidRPr="00F86C4C">
        <w:rPr>
          <w:rFonts w:ascii="Times New Roman" w:eastAsia="Times New Roman" w:hAnsi="Times New Roman" w:cs="Times New Roman"/>
          <w:b/>
          <w:bCs/>
          <w:kern w:val="0"/>
          <w14:ligatures w14:val="none"/>
        </w:rPr>
        <w:t>Time-course DockQ trajectories for 6HAY (SMARCA</w:t>
      </w:r>
      <w:proofErr w:type="gramStart"/>
      <w:r w:rsidRPr="00F86C4C">
        <w:rPr>
          <w:rFonts w:ascii="Times New Roman" w:eastAsia="Times New Roman" w:hAnsi="Times New Roman" w:cs="Times New Roman"/>
          <w:b/>
          <w:bCs/>
          <w:kern w:val="0"/>
          <w14:ligatures w14:val="none"/>
        </w:rPr>
        <w:t>2:VHL</w:t>
      </w:r>
      <w:proofErr w:type="gramEnd"/>
      <w:r w:rsidRPr="00F86C4C">
        <w:rPr>
          <w:rFonts w:ascii="Times New Roman" w:eastAsia="Times New Roman" w:hAnsi="Times New Roman" w:cs="Times New Roman"/>
          <w:b/>
          <w:bCs/>
          <w:kern w:val="0"/>
          <w14:ligatures w14:val="none"/>
        </w:rPr>
        <w:t>) during molecular dynamics simulation.</w:t>
      </w:r>
      <w:r w:rsidRPr="00F86C4C">
        <w:rPr>
          <w:rFonts w:ascii="Times New Roman" w:eastAsia="Times New Roman" w:hAnsi="Times New Roman" w:cs="Times New Roman"/>
          <w:kern w:val="0"/>
          <w14:ligatures w14:val="none"/>
        </w:rPr>
        <w:t xml:space="preserve"> Among all five AF3 models, </w:t>
      </w:r>
      <w:r w:rsidRPr="00F86C4C">
        <w:rPr>
          <w:rFonts w:ascii="Times New Roman" w:eastAsia="Times New Roman" w:hAnsi="Times New Roman" w:cs="Times New Roman"/>
          <w:b/>
          <w:bCs/>
          <w:kern w:val="0"/>
          <w14:ligatures w14:val="none"/>
        </w:rPr>
        <w:t>model_4</w:t>
      </w:r>
      <w:r w:rsidRPr="00F86C4C">
        <w:rPr>
          <w:rFonts w:ascii="Times New Roman" w:eastAsia="Times New Roman" w:hAnsi="Times New Roman" w:cs="Times New Roman"/>
          <w:kern w:val="0"/>
          <w14:ligatures w14:val="none"/>
        </w:rPr>
        <w:t xml:space="preserve"> achieves the highest DockQ score of </w:t>
      </w:r>
      <w:r w:rsidRPr="00F86C4C">
        <w:rPr>
          <w:rFonts w:ascii="Times New Roman" w:eastAsia="Times New Roman" w:hAnsi="Times New Roman" w:cs="Times New Roman"/>
          <w:b/>
          <w:bCs/>
          <w:kern w:val="0"/>
          <w14:ligatures w14:val="none"/>
        </w:rPr>
        <w:t>0.14</w:t>
      </w:r>
      <w:r w:rsidRPr="00F86C4C">
        <w:rPr>
          <w:rFonts w:ascii="Times New Roman" w:eastAsia="Times New Roman" w:hAnsi="Times New Roman" w:cs="Times New Roman"/>
          <w:kern w:val="0"/>
          <w14:ligatures w14:val="none"/>
        </w:rPr>
        <w:t>, observed in the mid-region of the simulation near frame 2800. This peak, while notable, is brief and not replicated by other models, which tend to hover in the 0.02–0.08 range. Fluctuations are persistent throughout the trajectory, and none of the models demonstrate consistent or progressive improvement in interface alignment. The elevated activity suggests some conformational exploration, yet structural fidelity remains poor relative to the native complex.</w:t>
      </w:r>
    </w:p>
    <w:p w14:paraId="608EC43F" w14:textId="77777777" w:rsidR="00AD1221" w:rsidRDefault="00AD1221" w:rsidP="00C84082">
      <w:pPr>
        <w:spacing w:before="100" w:beforeAutospacing="1" w:after="100" w:afterAutospacing="1"/>
        <w:rPr>
          <w:rFonts w:ascii="Times New Roman" w:eastAsia="Times New Roman" w:hAnsi="Times New Roman" w:cs="Times New Roman"/>
          <w:kern w:val="0"/>
          <w14:ligatures w14:val="none"/>
        </w:rPr>
      </w:pPr>
    </w:p>
    <w:p w14:paraId="381A086D" w14:textId="77777777" w:rsidR="00AD1221" w:rsidRPr="00F86C4C" w:rsidRDefault="00AD1221" w:rsidP="00C84082">
      <w:pPr>
        <w:spacing w:before="100" w:beforeAutospacing="1" w:after="100" w:afterAutospacing="1"/>
        <w:rPr>
          <w:rFonts w:ascii="Times New Roman" w:eastAsia="Times New Roman" w:hAnsi="Times New Roman" w:cs="Times New Roman"/>
          <w:kern w:val="0"/>
          <w14:ligatures w14:val="none"/>
        </w:rPr>
      </w:pPr>
    </w:p>
    <w:p w14:paraId="2D0B2AF8"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noProof/>
          <w:kern w:val="0"/>
        </w:rPr>
        <w:lastRenderedPageBreak/>
        <w:drawing>
          <wp:inline distT="0" distB="0" distL="0" distR="0" wp14:anchorId="3162CE4B" wp14:editId="3690E0B9">
            <wp:extent cx="6337300" cy="3802380"/>
            <wp:effectExtent l="0" t="0" r="0" b="0"/>
            <wp:docPr id="926639811" name="Picture 3" descr="A graph of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39811" name="Picture 3" descr="A graph of a sound wav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p>
    <w:p w14:paraId="207C4569" w14:textId="2D642621"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b/>
          <w:bCs/>
          <w:kern w:val="0"/>
          <w14:ligatures w14:val="none"/>
        </w:rPr>
        <w:t xml:space="preserve">Figure S16. </w:t>
      </w:r>
      <w:r w:rsidR="00AD1221">
        <w:rPr>
          <w:rFonts w:ascii="Times New Roman" w:eastAsia="Times New Roman" w:hAnsi="Times New Roman" w:cs="Times New Roman"/>
          <w:b/>
          <w:bCs/>
          <w:kern w:val="0"/>
          <w14:ligatures w14:val="none"/>
        </w:rPr>
        <w:t xml:space="preserve"> </w:t>
      </w:r>
      <w:r w:rsidRPr="00F86C4C">
        <w:rPr>
          <w:rFonts w:ascii="Times New Roman" w:eastAsia="Times New Roman" w:hAnsi="Times New Roman" w:cs="Times New Roman"/>
          <w:b/>
          <w:bCs/>
          <w:kern w:val="0"/>
          <w14:ligatures w14:val="none"/>
        </w:rPr>
        <w:t>DockQ score evolution for the 6HR2 (SMARCA</w:t>
      </w:r>
      <w:proofErr w:type="gramStart"/>
      <w:r w:rsidRPr="00F86C4C">
        <w:rPr>
          <w:rFonts w:ascii="Times New Roman" w:eastAsia="Times New Roman" w:hAnsi="Times New Roman" w:cs="Times New Roman"/>
          <w:b/>
          <w:bCs/>
          <w:kern w:val="0"/>
          <w14:ligatures w14:val="none"/>
        </w:rPr>
        <w:t>4:VHL</w:t>
      </w:r>
      <w:proofErr w:type="gramEnd"/>
      <w:r w:rsidRPr="00F86C4C">
        <w:rPr>
          <w:rFonts w:ascii="Times New Roman" w:eastAsia="Times New Roman" w:hAnsi="Times New Roman" w:cs="Times New Roman"/>
          <w:b/>
          <w:bCs/>
          <w:kern w:val="0"/>
          <w14:ligatures w14:val="none"/>
        </w:rPr>
        <w:t>) ternary complex over a 50 ns trajectory.</w:t>
      </w:r>
      <w:r w:rsidRPr="00F86C4C">
        <w:rPr>
          <w:rFonts w:ascii="Times New Roman" w:eastAsia="Times New Roman" w:hAnsi="Times New Roman" w:cs="Times New Roman"/>
          <w:kern w:val="0"/>
          <w14:ligatures w14:val="none"/>
        </w:rPr>
        <w:t xml:space="preserve"> The overall behavior of this system is comparatively stable, with lower noise and fewer sharp transitions than 6HAX or 6HAY. </w:t>
      </w:r>
      <w:r w:rsidRPr="00F86C4C">
        <w:rPr>
          <w:rFonts w:ascii="Times New Roman" w:eastAsia="Times New Roman" w:hAnsi="Times New Roman" w:cs="Times New Roman"/>
          <w:b/>
          <w:bCs/>
          <w:kern w:val="0"/>
          <w14:ligatures w14:val="none"/>
        </w:rPr>
        <w:t>Model_2</w:t>
      </w:r>
      <w:r w:rsidRPr="00F86C4C">
        <w:rPr>
          <w:rFonts w:ascii="Times New Roman" w:eastAsia="Times New Roman" w:hAnsi="Times New Roman" w:cs="Times New Roman"/>
          <w:kern w:val="0"/>
          <w14:ligatures w14:val="none"/>
        </w:rPr>
        <w:t xml:space="preserve"> reaches a maximum score of 0.12 around frame 500, while </w:t>
      </w:r>
      <w:r w:rsidRPr="00F86C4C">
        <w:rPr>
          <w:rFonts w:ascii="Times New Roman" w:eastAsia="Times New Roman" w:hAnsi="Times New Roman" w:cs="Times New Roman"/>
          <w:b/>
          <w:bCs/>
          <w:kern w:val="0"/>
          <w14:ligatures w14:val="none"/>
        </w:rPr>
        <w:t>model_3</w:t>
      </w:r>
      <w:r w:rsidRPr="00F86C4C">
        <w:rPr>
          <w:rFonts w:ascii="Times New Roman" w:eastAsia="Times New Roman" w:hAnsi="Times New Roman" w:cs="Times New Roman"/>
          <w:kern w:val="0"/>
          <w14:ligatures w14:val="none"/>
        </w:rPr>
        <w:t xml:space="preserve"> shows moderate consistency in the 0.07–0.10 range across the middle segment. Despite this stability, all values remain below the “acceptable” DockQ threshold of 0.23, indicating that none of the sampled frames come close to recapitulating the native geometry.</w:t>
      </w:r>
    </w:p>
    <w:p w14:paraId="5A7F9466" w14:textId="77777777" w:rsidR="00C84082" w:rsidRPr="00F86C4C" w:rsidRDefault="00C84082" w:rsidP="00C84082">
      <w:pPr>
        <w:spacing w:before="100" w:beforeAutospacing="1" w:after="100" w:afterAutospacing="1"/>
        <w:rPr>
          <w:rStyle w:val="Strong"/>
          <w:rFonts w:ascii="Times New Roman" w:hAnsi="Times New Roman" w:cs="Times New Roman"/>
        </w:rPr>
      </w:pPr>
    </w:p>
    <w:p w14:paraId="6B6D034A" w14:textId="59C21B55" w:rsidR="00C84082" w:rsidRPr="00F86C4C" w:rsidRDefault="00C84082" w:rsidP="00C84082">
      <w:pPr>
        <w:spacing w:before="100" w:beforeAutospacing="1" w:after="100" w:afterAutospacing="1"/>
        <w:rPr>
          <w:rFonts w:ascii="Times New Roman" w:hAnsi="Times New Roman" w:cs="Times New Roman"/>
        </w:rPr>
      </w:pPr>
      <w:r w:rsidRPr="00F86C4C">
        <w:rPr>
          <w:rFonts w:ascii="Times New Roman" w:eastAsia="Times New Roman" w:hAnsi="Times New Roman" w:cs="Times New Roman"/>
          <w:noProof/>
          <w:kern w:val="0"/>
        </w:rPr>
        <w:lastRenderedPageBreak/>
        <w:drawing>
          <wp:inline distT="0" distB="0" distL="0" distR="0" wp14:anchorId="6F09EC00" wp14:editId="6AAFB130">
            <wp:extent cx="6337300" cy="3802380"/>
            <wp:effectExtent l="0" t="0" r="0" b="0"/>
            <wp:docPr id="2127179029" name="Picture 4" descr="A graph of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9029" name="Picture 4" descr="A graph of a sound wav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r w:rsidRPr="00F86C4C">
        <w:rPr>
          <w:rStyle w:val="Strong"/>
          <w:rFonts w:ascii="Times New Roman" w:hAnsi="Times New Roman" w:cs="Times New Roman"/>
        </w:rPr>
        <w:t xml:space="preserve">Figure S17. </w:t>
      </w:r>
      <w:r w:rsidR="00AD1221">
        <w:rPr>
          <w:rStyle w:val="Strong"/>
          <w:rFonts w:ascii="Times New Roman" w:hAnsi="Times New Roman" w:cs="Times New Roman"/>
        </w:rPr>
        <w:t xml:space="preserve"> </w:t>
      </w:r>
      <w:r w:rsidRPr="00F86C4C">
        <w:rPr>
          <w:rStyle w:val="Strong"/>
          <w:rFonts w:ascii="Times New Roman" w:hAnsi="Times New Roman" w:cs="Times New Roman"/>
        </w:rPr>
        <w:t>Molecular dynamics DockQ profiles for 8DSO (</w:t>
      </w:r>
      <w:proofErr w:type="gramStart"/>
      <w:r w:rsidRPr="00F86C4C">
        <w:rPr>
          <w:rStyle w:val="Strong"/>
          <w:rFonts w:ascii="Times New Roman" w:hAnsi="Times New Roman" w:cs="Times New Roman"/>
        </w:rPr>
        <w:t>BTK:RNF</w:t>
      </w:r>
      <w:proofErr w:type="gramEnd"/>
      <w:r w:rsidRPr="00F86C4C">
        <w:rPr>
          <w:rStyle w:val="Strong"/>
          <w:rFonts w:ascii="Times New Roman" w:hAnsi="Times New Roman" w:cs="Times New Roman"/>
        </w:rPr>
        <w:t>48), comparing all five AF3 Ternary model trajectories.</w:t>
      </w:r>
      <w:r w:rsidRPr="00F86C4C">
        <w:rPr>
          <w:rFonts w:ascii="Times New Roman" w:hAnsi="Times New Roman" w:cs="Times New Roman"/>
        </w:rPr>
        <w:t xml:space="preserve"> The highest score of</w:t>
      </w:r>
      <w:r w:rsidRPr="00F86C4C">
        <w:rPr>
          <w:rFonts w:ascii="Times New Roman" w:hAnsi="Times New Roman" w:cs="Times New Roman"/>
          <w:b/>
          <w:bCs/>
        </w:rPr>
        <w:t xml:space="preserve"> </w:t>
      </w:r>
      <w:r w:rsidRPr="00F86C4C">
        <w:rPr>
          <w:rStyle w:val="Strong"/>
          <w:rFonts w:ascii="Times New Roman" w:hAnsi="Times New Roman" w:cs="Times New Roman"/>
          <w:b w:val="0"/>
          <w:bCs w:val="0"/>
        </w:rPr>
        <w:t>0.14</w:t>
      </w:r>
      <w:r w:rsidRPr="00F86C4C">
        <w:rPr>
          <w:rFonts w:ascii="Times New Roman" w:hAnsi="Times New Roman" w:cs="Times New Roman"/>
          <w:b/>
          <w:bCs/>
        </w:rPr>
        <w:t xml:space="preserve"> </w:t>
      </w:r>
      <w:r w:rsidRPr="00F86C4C">
        <w:rPr>
          <w:rFonts w:ascii="Times New Roman" w:hAnsi="Times New Roman" w:cs="Times New Roman"/>
        </w:rPr>
        <w:t xml:space="preserve">appears abruptly in </w:t>
      </w:r>
      <w:r w:rsidRPr="00F86C4C">
        <w:rPr>
          <w:rStyle w:val="HTMLCode"/>
          <w:rFonts w:ascii="Times New Roman" w:eastAsiaTheme="minorHAnsi" w:hAnsi="Times New Roman" w:cs="Times New Roman"/>
          <w:b/>
          <w:bCs/>
        </w:rPr>
        <w:t>model_4</w:t>
      </w:r>
      <w:r w:rsidRPr="00F86C4C">
        <w:rPr>
          <w:rFonts w:ascii="Times New Roman" w:hAnsi="Times New Roman" w:cs="Times New Roman"/>
        </w:rPr>
        <w:t xml:space="preserve"> around frame 2750, yet this spike is highly transient and unaccompanied by consistent improvements in nearby frames. Other models (especially </w:t>
      </w:r>
      <w:r w:rsidRPr="00F86C4C">
        <w:rPr>
          <w:rStyle w:val="HTMLCode"/>
          <w:rFonts w:ascii="Times New Roman" w:eastAsiaTheme="minorHAnsi" w:hAnsi="Times New Roman" w:cs="Times New Roman"/>
          <w:b/>
          <w:bCs/>
        </w:rPr>
        <w:t>model_1</w:t>
      </w:r>
      <w:r w:rsidRPr="00F86C4C">
        <w:rPr>
          <w:rFonts w:ascii="Times New Roman" w:hAnsi="Times New Roman" w:cs="Times New Roman"/>
        </w:rPr>
        <w:t>) maintain low, noisy trajectories between 0.02–0.05. The large number of isolated fluctuations suggests dynamic sampling but limited structural fidelity, as no trajectory achieves sustained alignment with the crystallographic pose.</w:t>
      </w:r>
    </w:p>
    <w:p w14:paraId="50241FD9" w14:textId="77777777" w:rsidR="00C84082" w:rsidRPr="00F86C4C" w:rsidRDefault="00C84082" w:rsidP="00C84082">
      <w:pPr>
        <w:spacing w:before="100" w:beforeAutospacing="1" w:after="100" w:afterAutospacing="1"/>
        <w:rPr>
          <w:rFonts w:ascii="Times New Roman" w:hAnsi="Times New Roman" w:cs="Times New Roman"/>
        </w:rPr>
      </w:pPr>
    </w:p>
    <w:p w14:paraId="14E6AC50"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p>
    <w:p w14:paraId="706D42CA"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noProof/>
          <w:kern w:val="0"/>
        </w:rPr>
        <w:lastRenderedPageBreak/>
        <w:drawing>
          <wp:inline distT="0" distB="0" distL="0" distR="0" wp14:anchorId="712D5B92" wp14:editId="741EE7C6">
            <wp:extent cx="6337300" cy="3802380"/>
            <wp:effectExtent l="0" t="0" r="0" b="0"/>
            <wp:docPr id="450875379" name="Picture 5" descr="A graph of a number of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75379" name="Picture 5" descr="A graph of a number of column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p>
    <w:p w14:paraId="2AA83566" w14:textId="069F6EA3" w:rsidR="00C84082" w:rsidRPr="00F86C4C" w:rsidRDefault="00C84082" w:rsidP="00C84082">
      <w:pPr>
        <w:spacing w:before="100" w:beforeAutospacing="1" w:after="100" w:afterAutospacing="1"/>
        <w:rPr>
          <w:rFonts w:ascii="Times New Roman" w:hAnsi="Times New Roman" w:cs="Times New Roman"/>
        </w:rPr>
      </w:pPr>
      <w:r w:rsidRPr="00F86C4C">
        <w:rPr>
          <w:rStyle w:val="Strong"/>
          <w:rFonts w:ascii="Times New Roman" w:hAnsi="Times New Roman" w:cs="Times New Roman"/>
        </w:rPr>
        <w:t xml:space="preserve">Figure S18. </w:t>
      </w:r>
      <w:r w:rsidR="00AD1221">
        <w:rPr>
          <w:rStyle w:val="Strong"/>
          <w:rFonts w:ascii="Times New Roman" w:hAnsi="Times New Roman" w:cs="Times New Roman"/>
        </w:rPr>
        <w:t xml:space="preserve"> </w:t>
      </w:r>
      <w:r w:rsidRPr="00F86C4C">
        <w:rPr>
          <w:rStyle w:val="Strong"/>
          <w:rFonts w:ascii="Times New Roman" w:hAnsi="Times New Roman" w:cs="Times New Roman"/>
        </w:rPr>
        <w:t>Time-resolved DockQ data for the 8QVU (</w:t>
      </w:r>
      <w:proofErr w:type="gramStart"/>
      <w:r w:rsidRPr="00F86C4C">
        <w:rPr>
          <w:rStyle w:val="Strong"/>
          <w:rFonts w:ascii="Times New Roman" w:hAnsi="Times New Roman" w:cs="Times New Roman"/>
        </w:rPr>
        <w:t>KRAS:VHL</w:t>
      </w:r>
      <w:proofErr w:type="gramEnd"/>
      <w:r w:rsidRPr="00F86C4C">
        <w:rPr>
          <w:rStyle w:val="Strong"/>
          <w:rFonts w:ascii="Times New Roman" w:hAnsi="Times New Roman" w:cs="Times New Roman"/>
        </w:rPr>
        <w:t>) ternary complex across AlphaFold3 Ternary models.</w:t>
      </w:r>
      <w:r w:rsidRPr="00F86C4C">
        <w:rPr>
          <w:rFonts w:ascii="Times New Roman" w:hAnsi="Times New Roman" w:cs="Times New Roman"/>
        </w:rPr>
        <w:t xml:space="preserve"> This system displays the lowest structural fidelity of all five cases. The maximum DockQ score observed is a mere</w:t>
      </w:r>
      <w:r w:rsidRPr="00F86C4C">
        <w:rPr>
          <w:rFonts w:ascii="Times New Roman" w:hAnsi="Times New Roman" w:cs="Times New Roman"/>
          <w:b/>
          <w:bCs/>
        </w:rPr>
        <w:t xml:space="preserve"> </w:t>
      </w:r>
      <w:r w:rsidRPr="00F86C4C">
        <w:rPr>
          <w:rStyle w:val="Strong"/>
          <w:rFonts w:ascii="Times New Roman" w:hAnsi="Times New Roman" w:cs="Times New Roman"/>
          <w:b w:val="0"/>
          <w:bCs w:val="0"/>
        </w:rPr>
        <w:t>0.04</w:t>
      </w:r>
      <w:r w:rsidRPr="00F86C4C">
        <w:rPr>
          <w:rFonts w:ascii="Times New Roman" w:hAnsi="Times New Roman" w:cs="Times New Roman"/>
        </w:rPr>
        <w:t xml:space="preserve">, seen in </w:t>
      </w:r>
      <w:r w:rsidRPr="00F86C4C">
        <w:rPr>
          <w:rStyle w:val="HTMLCode"/>
          <w:rFonts w:ascii="Times New Roman" w:eastAsiaTheme="minorHAnsi" w:hAnsi="Times New Roman" w:cs="Times New Roman"/>
        </w:rPr>
        <w:t>model_4</w:t>
      </w:r>
      <w:r w:rsidRPr="00F86C4C">
        <w:rPr>
          <w:rFonts w:ascii="Times New Roman" w:hAnsi="Times New Roman" w:cs="Times New Roman"/>
        </w:rPr>
        <w:t xml:space="preserve"> around frame 1800. All models exhibit tightly clustered, flat trajectories with minimal variance or upward trends. The near-complete absence of DockQ progression across frames indicates a lack of interface reorganization or induced fit that might bring the models closer to the native geometry. In effect, this structure remains persistently misaligned throughout the simulation.</w:t>
      </w:r>
    </w:p>
    <w:p w14:paraId="121540D5"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p>
    <w:p w14:paraId="5464D663" w14:textId="77777777" w:rsidR="00C84082" w:rsidRPr="00F86C4C" w:rsidRDefault="00C84082" w:rsidP="00C84082">
      <w:pPr>
        <w:spacing w:before="100" w:beforeAutospacing="1" w:after="100" w:afterAutospacing="1"/>
        <w:rPr>
          <w:rFonts w:ascii="Times New Roman" w:eastAsia="Times New Roman" w:hAnsi="Times New Roman" w:cs="Times New Roman"/>
          <w:b/>
          <w:bCs/>
          <w:kern w:val="0"/>
          <w14:ligatures w14:val="none"/>
        </w:rPr>
      </w:pPr>
      <w:r w:rsidRPr="00F86C4C">
        <w:rPr>
          <w:rFonts w:ascii="Times New Roman" w:eastAsia="Times New Roman" w:hAnsi="Times New Roman" w:cs="Times New Roman"/>
          <w:b/>
          <w:bCs/>
          <w:noProof/>
          <w:kern w:val="0"/>
        </w:rPr>
        <w:lastRenderedPageBreak/>
        <w:drawing>
          <wp:inline distT="0" distB="0" distL="0" distR="0" wp14:anchorId="60AE7ACF" wp14:editId="20AA35FC">
            <wp:extent cx="6337300" cy="3802380"/>
            <wp:effectExtent l="0" t="0" r="0" b="0"/>
            <wp:docPr id="1451856501" name="Picture 7" descr="A chart of multiple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6501" name="Picture 7" descr="A chart of multiple colored dot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p>
    <w:p w14:paraId="3B8177D8" w14:textId="6262153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Fonts w:ascii="Times New Roman" w:eastAsia="Times New Roman" w:hAnsi="Times New Roman" w:cs="Times New Roman"/>
          <w:b/>
          <w:bCs/>
          <w:kern w:val="0"/>
          <w14:ligatures w14:val="none"/>
        </w:rPr>
        <w:t>Figure S19.</w:t>
      </w:r>
      <w:r w:rsidRPr="00F86C4C">
        <w:rPr>
          <w:rFonts w:ascii="Times New Roman" w:eastAsia="Times New Roman" w:hAnsi="Times New Roman" w:cs="Times New Roman"/>
          <w:kern w:val="0"/>
          <w14:ligatures w14:val="none"/>
        </w:rPr>
        <w:t xml:space="preserve"> </w:t>
      </w:r>
      <w:r w:rsidR="00AD1221">
        <w:rPr>
          <w:rFonts w:ascii="Times New Roman" w:eastAsia="Times New Roman" w:hAnsi="Times New Roman" w:cs="Times New Roman"/>
          <w:kern w:val="0"/>
          <w14:ligatures w14:val="none"/>
        </w:rPr>
        <w:t xml:space="preserve"> </w:t>
      </w:r>
      <w:r w:rsidRPr="00F86C4C">
        <w:rPr>
          <w:rFonts w:ascii="Times New Roman" w:eastAsia="Times New Roman" w:hAnsi="Times New Roman" w:cs="Times New Roman"/>
          <w:b/>
          <w:bCs/>
          <w:kern w:val="0"/>
          <w14:ligatures w14:val="none"/>
        </w:rPr>
        <w:t xml:space="preserve">8QVU yields frequent and high-fidelity alignments between </w:t>
      </w:r>
      <w:proofErr w:type="spellStart"/>
      <w:r w:rsidRPr="00F86C4C">
        <w:rPr>
          <w:rFonts w:ascii="Times New Roman" w:eastAsia="Times New Roman" w:hAnsi="Times New Roman" w:cs="Times New Roman"/>
          <w:b/>
          <w:bCs/>
          <w:kern w:val="0"/>
          <w14:ligatures w14:val="none"/>
        </w:rPr>
        <w:t>PRosettaC</w:t>
      </w:r>
      <w:proofErr w:type="spellEnd"/>
      <w:r w:rsidRPr="00F86C4C">
        <w:rPr>
          <w:rFonts w:ascii="Times New Roman" w:eastAsia="Times New Roman" w:hAnsi="Times New Roman" w:cs="Times New Roman"/>
          <w:b/>
          <w:bCs/>
          <w:kern w:val="0"/>
          <w14:ligatures w14:val="none"/>
        </w:rPr>
        <w:t xml:space="preserve"> predictions and MD crystal frames.</w:t>
      </w:r>
      <w:r w:rsidRPr="00F86C4C">
        <w:rPr>
          <w:rFonts w:ascii="Times New Roman" w:eastAsia="Times New Roman" w:hAnsi="Times New Roman" w:cs="Times New Roman"/>
          <w:kern w:val="0"/>
          <w14:ligatures w14:val="none"/>
        </w:rPr>
        <w:t xml:space="preserve"> This system exhibits the highest DockQ scores of all tested benchmarks, peaking at 0.69. These results indicate that certain </w:t>
      </w:r>
      <w:proofErr w:type="gramStart"/>
      <w:r w:rsidRPr="00F86C4C">
        <w:rPr>
          <w:rFonts w:ascii="Times New Roman" w:eastAsia="Times New Roman" w:hAnsi="Times New Roman" w:cs="Times New Roman"/>
          <w:kern w:val="0"/>
          <w14:ligatures w14:val="none"/>
        </w:rPr>
        <w:t>KRAS:VHL</w:t>
      </w:r>
      <w:proofErr w:type="gramEnd"/>
      <w:r w:rsidRPr="00F86C4C">
        <w:rPr>
          <w:rFonts w:ascii="Times New Roman" w:eastAsia="Times New Roman" w:hAnsi="Times New Roman" w:cs="Times New Roman"/>
          <w:kern w:val="0"/>
          <w14:ligatures w14:val="none"/>
        </w:rPr>
        <w:t xml:space="preserve"> conformations captured during MD are highly compatible with </w:t>
      </w:r>
      <w:proofErr w:type="spellStart"/>
      <w:r w:rsidRPr="00F86C4C">
        <w:rPr>
          <w:rFonts w:ascii="Times New Roman" w:eastAsia="Times New Roman" w:hAnsi="Times New Roman" w:cs="Times New Roman"/>
          <w:kern w:val="0"/>
          <w14:ligatures w14:val="none"/>
        </w:rPr>
        <w:t>PRosettaC</w:t>
      </w:r>
      <w:proofErr w:type="spellEnd"/>
      <w:r w:rsidRPr="00F86C4C">
        <w:rPr>
          <w:rFonts w:ascii="Times New Roman" w:eastAsia="Times New Roman" w:hAnsi="Times New Roman" w:cs="Times New Roman"/>
          <w:kern w:val="0"/>
          <w14:ligatures w14:val="none"/>
        </w:rPr>
        <w:t xml:space="preserve"> geometries, reinforcing the importance of receptor dynamics in degrader modeling.</w:t>
      </w:r>
    </w:p>
    <w:p w14:paraId="70DF782D"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p>
    <w:p w14:paraId="481246F7" w14:textId="77777777"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p>
    <w:p w14:paraId="00394BE0" w14:textId="67D4D644" w:rsidR="00C84082" w:rsidRPr="00F86C4C" w:rsidRDefault="00C84082" w:rsidP="00C84082">
      <w:pPr>
        <w:spacing w:before="100" w:beforeAutospacing="1" w:after="100" w:afterAutospacing="1"/>
        <w:rPr>
          <w:rFonts w:ascii="Times New Roman" w:hAnsi="Times New Roman" w:cs="Times New Roman"/>
        </w:rPr>
      </w:pPr>
      <w:r w:rsidRPr="00F86C4C">
        <w:rPr>
          <w:rFonts w:ascii="Times New Roman" w:eastAsia="Times New Roman" w:hAnsi="Times New Roman" w:cs="Times New Roman"/>
          <w:b/>
          <w:bCs/>
          <w:noProof/>
          <w:kern w:val="0"/>
        </w:rPr>
        <w:lastRenderedPageBreak/>
        <w:drawing>
          <wp:inline distT="0" distB="0" distL="0" distR="0" wp14:anchorId="3CE5D5C5" wp14:editId="5846BC82">
            <wp:extent cx="6337300" cy="3802380"/>
            <wp:effectExtent l="0" t="0" r="0" b="0"/>
            <wp:docPr id="1200714936" name="Picture 6" descr="A char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14936" name="Picture 6" descr="A chart of a graph&#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r w:rsidRPr="00F86C4C">
        <w:rPr>
          <w:rStyle w:val="Strong"/>
          <w:rFonts w:ascii="Times New Roman" w:hAnsi="Times New Roman" w:cs="Times New Roman"/>
        </w:rPr>
        <w:t>Figure S20.</w:t>
      </w:r>
      <w:r w:rsidRPr="00F86C4C">
        <w:rPr>
          <w:rFonts w:ascii="Times New Roman" w:hAnsi="Times New Roman" w:cs="Times New Roman"/>
        </w:rPr>
        <w:t xml:space="preserve"> </w:t>
      </w:r>
      <w:r w:rsidR="00AD1221">
        <w:rPr>
          <w:rFonts w:ascii="Times New Roman" w:hAnsi="Times New Roman" w:cs="Times New Roman"/>
        </w:rPr>
        <w:t xml:space="preserve"> </w:t>
      </w:r>
      <w:r w:rsidRPr="00F86C4C">
        <w:rPr>
          <w:rStyle w:val="Strong"/>
          <w:rFonts w:ascii="Times New Roman" w:hAnsi="Times New Roman" w:cs="Times New Roman"/>
        </w:rPr>
        <w:t>The 6HR2 system shows sustained mid-range DockQ values, with multiple high-scoring model-frame pairs.</w:t>
      </w:r>
      <w:r w:rsidRPr="00F86C4C">
        <w:rPr>
          <w:rFonts w:ascii="Times New Roman" w:hAnsi="Times New Roman" w:cs="Times New Roman"/>
        </w:rPr>
        <w:t xml:space="preserve"> Numerous </w:t>
      </w:r>
      <w:proofErr w:type="spellStart"/>
      <w:r w:rsidRPr="00F86C4C">
        <w:rPr>
          <w:rFonts w:ascii="Times New Roman" w:hAnsi="Times New Roman" w:cs="Times New Roman"/>
        </w:rPr>
        <w:t>PRosettaC</w:t>
      </w:r>
      <w:proofErr w:type="spellEnd"/>
      <w:r w:rsidRPr="00F86C4C">
        <w:rPr>
          <w:rFonts w:ascii="Times New Roman" w:hAnsi="Times New Roman" w:cs="Times New Roman"/>
        </w:rPr>
        <w:t xml:space="preserve"> models align moderately well (DockQ &gt; 0.4) with MD-sampled frames of the SMARCA</w:t>
      </w:r>
      <w:proofErr w:type="gramStart"/>
      <w:r w:rsidRPr="00F86C4C">
        <w:rPr>
          <w:rFonts w:ascii="Times New Roman" w:hAnsi="Times New Roman" w:cs="Times New Roman"/>
        </w:rPr>
        <w:t>4:VHL</w:t>
      </w:r>
      <w:proofErr w:type="gramEnd"/>
      <w:r w:rsidRPr="00F86C4C">
        <w:rPr>
          <w:rFonts w:ascii="Times New Roman" w:hAnsi="Times New Roman" w:cs="Times New Roman"/>
        </w:rPr>
        <w:t xml:space="preserve"> complex. The broader score distribution suggests greater receptor flexibility and a wider conformational tolerance for ternary complex formation.</w:t>
      </w:r>
    </w:p>
    <w:p w14:paraId="31207132" w14:textId="77777777" w:rsidR="00C84082" w:rsidRPr="00F86C4C" w:rsidRDefault="00C84082" w:rsidP="00C84082">
      <w:pPr>
        <w:spacing w:before="100" w:beforeAutospacing="1" w:after="100" w:afterAutospacing="1"/>
        <w:rPr>
          <w:rFonts w:ascii="Times New Roman" w:hAnsi="Times New Roman" w:cs="Times New Roman"/>
        </w:rPr>
      </w:pPr>
    </w:p>
    <w:p w14:paraId="44A35412" w14:textId="77777777" w:rsidR="00C84082" w:rsidRPr="00F86C4C" w:rsidRDefault="00C84082" w:rsidP="00C84082">
      <w:pPr>
        <w:spacing w:before="100" w:beforeAutospacing="1" w:after="100" w:afterAutospacing="1"/>
        <w:rPr>
          <w:rFonts w:ascii="Times New Roman" w:hAnsi="Times New Roman" w:cs="Times New Roman"/>
        </w:rPr>
      </w:pPr>
    </w:p>
    <w:p w14:paraId="48DD14A6" w14:textId="77777777" w:rsidR="00C84082" w:rsidRPr="00F86C4C" w:rsidRDefault="00C84082" w:rsidP="00C84082">
      <w:pPr>
        <w:spacing w:before="100" w:beforeAutospacing="1" w:after="100" w:afterAutospacing="1"/>
        <w:rPr>
          <w:rFonts w:ascii="Times New Roman" w:hAnsi="Times New Roman" w:cs="Times New Roman"/>
          <w:b/>
          <w:bCs/>
        </w:rPr>
      </w:pPr>
    </w:p>
    <w:p w14:paraId="646E0389" w14:textId="6B2CCF22" w:rsidR="00C84082" w:rsidRPr="00F86C4C" w:rsidRDefault="00C84082" w:rsidP="00C84082">
      <w:pPr>
        <w:spacing w:before="100" w:beforeAutospacing="1" w:after="100" w:afterAutospacing="1"/>
        <w:rPr>
          <w:rFonts w:ascii="Times New Roman" w:hAnsi="Times New Roman" w:cs="Times New Roman"/>
          <w:b/>
          <w:bCs/>
        </w:rPr>
      </w:pPr>
      <w:r w:rsidRPr="00F86C4C">
        <w:rPr>
          <w:rFonts w:ascii="Times New Roman" w:hAnsi="Times New Roman" w:cs="Times New Roman"/>
          <w:b/>
          <w:bCs/>
          <w:noProof/>
        </w:rPr>
        <w:lastRenderedPageBreak/>
        <w:drawing>
          <wp:inline distT="0" distB="0" distL="0" distR="0" wp14:anchorId="2CBAAE2E" wp14:editId="10B8E438">
            <wp:extent cx="6337300" cy="3802380"/>
            <wp:effectExtent l="0" t="0" r="0" b="0"/>
            <wp:docPr id="362380624" name="Picture 8" descr="A graph of a number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80624" name="Picture 8" descr="A graph of a number of different colored dot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r w:rsidRPr="00F86C4C">
        <w:rPr>
          <w:rStyle w:val="Strong"/>
          <w:rFonts w:ascii="Times New Roman" w:hAnsi="Times New Roman" w:cs="Times New Roman"/>
        </w:rPr>
        <w:t>Figure S21.</w:t>
      </w:r>
      <w:r w:rsidRPr="00F86C4C">
        <w:rPr>
          <w:rFonts w:ascii="Times New Roman" w:hAnsi="Times New Roman" w:cs="Times New Roman"/>
        </w:rPr>
        <w:t xml:space="preserve"> </w:t>
      </w:r>
      <w:r w:rsidR="00AD1221">
        <w:rPr>
          <w:rFonts w:ascii="Times New Roman" w:hAnsi="Times New Roman" w:cs="Times New Roman"/>
        </w:rPr>
        <w:t xml:space="preserve"> </w:t>
      </w:r>
      <w:r w:rsidRPr="00F86C4C">
        <w:rPr>
          <w:rStyle w:val="Strong"/>
          <w:rFonts w:ascii="Times New Roman" w:hAnsi="Times New Roman" w:cs="Times New Roman"/>
        </w:rPr>
        <w:t xml:space="preserve">6HAY displays limited conformational compatibility with </w:t>
      </w:r>
      <w:proofErr w:type="spellStart"/>
      <w:r w:rsidRPr="00F86C4C">
        <w:rPr>
          <w:rStyle w:val="Strong"/>
          <w:rFonts w:ascii="Times New Roman" w:hAnsi="Times New Roman" w:cs="Times New Roman"/>
        </w:rPr>
        <w:t>PRosettaC</w:t>
      </w:r>
      <w:proofErr w:type="spellEnd"/>
      <w:r w:rsidRPr="00F86C4C">
        <w:rPr>
          <w:rStyle w:val="Strong"/>
          <w:rFonts w:ascii="Times New Roman" w:hAnsi="Times New Roman" w:cs="Times New Roman"/>
        </w:rPr>
        <w:t xml:space="preserve"> predictions across all frames.</w:t>
      </w:r>
      <w:r w:rsidRPr="00F86C4C">
        <w:rPr>
          <w:rFonts w:ascii="Times New Roman" w:hAnsi="Times New Roman" w:cs="Times New Roman"/>
        </w:rPr>
        <w:t xml:space="preserve"> Despite extensive sampling, the highest observed DockQ score remains below 0.2. The low and tightly clustered distribution across time indicates that </w:t>
      </w:r>
      <w:proofErr w:type="spellStart"/>
      <w:r w:rsidRPr="00F86C4C">
        <w:rPr>
          <w:rFonts w:ascii="Times New Roman" w:hAnsi="Times New Roman" w:cs="Times New Roman"/>
        </w:rPr>
        <w:t>PRosettaC</w:t>
      </w:r>
      <w:proofErr w:type="spellEnd"/>
      <w:r w:rsidRPr="00F86C4C">
        <w:rPr>
          <w:rFonts w:ascii="Times New Roman" w:hAnsi="Times New Roman" w:cs="Times New Roman"/>
        </w:rPr>
        <w:t xml:space="preserve"> models struggle to align with either static or dynamic forms of the SMARCA</w:t>
      </w:r>
      <w:proofErr w:type="gramStart"/>
      <w:r w:rsidRPr="00F86C4C">
        <w:rPr>
          <w:rFonts w:ascii="Times New Roman" w:hAnsi="Times New Roman" w:cs="Times New Roman"/>
        </w:rPr>
        <w:t>2:VHL</w:t>
      </w:r>
      <w:proofErr w:type="gramEnd"/>
      <w:r w:rsidRPr="00F86C4C">
        <w:rPr>
          <w:rFonts w:ascii="Times New Roman" w:hAnsi="Times New Roman" w:cs="Times New Roman"/>
        </w:rPr>
        <w:t xml:space="preserve"> complex in this system.</w:t>
      </w:r>
    </w:p>
    <w:p w14:paraId="6B8A99CD" w14:textId="77777777" w:rsidR="00C84082" w:rsidRPr="00F86C4C" w:rsidRDefault="00C84082" w:rsidP="00C84082">
      <w:pPr>
        <w:rPr>
          <w:rFonts w:ascii="Times New Roman" w:hAnsi="Times New Roman" w:cs="Times New Roman"/>
        </w:rPr>
      </w:pPr>
    </w:p>
    <w:p w14:paraId="3F3B310E" w14:textId="77777777" w:rsidR="00C84082" w:rsidRPr="00F86C4C" w:rsidRDefault="00C84082" w:rsidP="00C84082">
      <w:pPr>
        <w:rPr>
          <w:rFonts w:ascii="Times New Roman" w:hAnsi="Times New Roman" w:cs="Times New Roman"/>
        </w:rPr>
      </w:pPr>
    </w:p>
    <w:p w14:paraId="5CD5A8FF" w14:textId="77777777" w:rsidR="00C84082" w:rsidRPr="00F86C4C" w:rsidRDefault="00C84082" w:rsidP="00C84082">
      <w:pPr>
        <w:rPr>
          <w:rFonts w:ascii="Times New Roman" w:hAnsi="Times New Roman" w:cs="Times New Roman"/>
        </w:rPr>
      </w:pPr>
    </w:p>
    <w:p w14:paraId="0BC12059" w14:textId="77777777" w:rsidR="00C84082" w:rsidRPr="00F86C4C" w:rsidRDefault="00C84082" w:rsidP="00C84082">
      <w:pPr>
        <w:spacing w:before="100" w:beforeAutospacing="1" w:after="100" w:afterAutospacing="1"/>
        <w:rPr>
          <w:rFonts w:ascii="Times New Roman" w:hAnsi="Times New Roman" w:cs="Times New Roman"/>
        </w:rPr>
      </w:pPr>
      <w:r w:rsidRPr="00F86C4C">
        <w:rPr>
          <w:rFonts w:ascii="Times New Roman" w:hAnsi="Times New Roman" w:cs="Times New Roman"/>
          <w:noProof/>
        </w:rPr>
        <w:lastRenderedPageBreak/>
        <w:drawing>
          <wp:inline distT="0" distB="0" distL="0" distR="0" wp14:anchorId="2017F317" wp14:editId="51D57C6A">
            <wp:extent cx="6337300" cy="3802380"/>
            <wp:effectExtent l="0" t="0" r="0" b="0"/>
            <wp:docPr id="1667093386" name="Picture 9" descr="A char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93386" name="Picture 9" descr="A chart of a grap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7300" cy="3802380"/>
                    </a:xfrm>
                    <a:prstGeom prst="rect">
                      <a:avLst/>
                    </a:prstGeom>
                  </pic:spPr>
                </pic:pic>
              </a:graphicData>
            </a:graphic>
          </wp:inline>
        </w:drawing>
      </w:r>
    </w:p>
    <w:p w14:paraId="0B02A46B" w14:textId="311342CA" w:rsidR="00C84082" w:rsidRPr="00F86C4C" w:rsidRDefault="00C84082" w:rsidP="00C84082">
      <w:pPr>
        <w:spacing w:before="100" w:beforeAutospacing="1" w:after="100" w:afterAutospacing="1"/>
        <w:rPr>
          <w:rFonts w:ascii="Times New Roman" w:eastAsia="Times New Roman" w:hAnsi="Times New Roman" w:cs="Times New Roman"/>
          <w:kern w:val="0"/>
          <w14:ligatures w14:val="none"/>
        </w:rPr>
      </w:pPr>
      <w:r w:rsidRPr="00F86C4C">
        <w:rPr>
          <w:rStyle w:val="Strong"/>
          <w:rFonts w:ascii="Times New Roman" w:hAnsi="Times New Roman" w:cs="Times New Roman"/>
        </w:rPr>
        <w:t xml:space="preserve">Figure S22. </w:t>
      </w:r>
      <w:r w:rsidR="00AD1221">
        <w:rPr>
          <w:rStyle w:val="Strong"/>
          <w:rFonts w:ascii="Times New Roman" w:hAnsi="Times New Roman" w:cs="Times New Roman"/>
        </w:rPr>
        <w:t xml:space="preserve"> </w:t>
      </w:r>
      <w:proofErr w:type="spellStart"/>
      <w:r w:rsidRPr="00F86C4C">
        <w:rPr>
          <w:rStyle w:val="Strong"/>
          <w:rFonts w:ascii="Times New Roman" w:hAnsi="Times New Roman" w:cs="Times New Roman"/>
        </w:rPr>
        <w:t>PRosettaC</w:t>
      </w:r>
      <w:proofErr w:type="spellEnd"/>
      <w:r w:rsidRPr="00F86C4C">
        <w:rPr>
          <w:rStyle w:val="Strong"/>
          <w:rFonts w:ascii="Times New Roman" w:hAnsi="Times New Roman" w:cs="Times New Roman"/>
        </w:rPr>
        <w:t xml:space="preserve"> models transiently align with high fidelity to select frames of the 6HAX MD trajectory.</w:t>
      </w:r>
      <w:r w:rsidRPr="00F86C4C">
        <w:rPr>
          <w:rFonts w:ascii="Times New Roman" w:hAnsi="Times New Roman" w:cs="Times New Roman"/>
        </w:rPr>
        <w:t xml:space="preserve"> Each point represents the DockQ similarity between a </w:t>
      </w:r>
      <w:proofErr w:type="spellStart"/>
      <w:r w:rsidRPr="00F86C4C">
        <w:rPr>
          <w:rFonts w:ascii="Times New Roman" w:hAnsi="Times New Roman" w:cs="Times New Roman"/>
        </w:rPr>
        <w:t>PRosettaC</w:t>
      </w:r>
      <w:proofErr w:type="spellEnd"/>
      <w:r w:rsidRPr="00F86C4C">
        <w:rPr>
          <w:rFonts w:ascii="Times New Roman" w:hAnsi="Times New Roman" w:cs="Times New Roman"/>
        </w:rPr>
        <w:t xml:space="preserve">-predicted ternary complex and one frame from a MD simulation of the 6HAX crystal structure, sampled every 50 frames. While the highest DockQ score against the static crystal structure remained below 0.2, several model-frame comparisons during the trajectory exceeded 0.4, with the best reaching 0.42. These results reveal episodic, high-quality alignments with dynamic conformations that would be overlooked in a static evaluation, underscoring the importance of temporal resolution in benchmarking ternary complex predictions.  </w:t>
      </w:r>
      <w:r w:rsidRPr="00F86C4C">
        <w:rPr>
          <w:rFonts w:ascii="Times New Roman" w:eastAsia="Times New Roman" w:hAnsi="Times New Roman" w:cs="Times New Roman"/>
          <w:kern w:val="0"/>
          <w14:ligatures w14:val="none"/>
        </w:rPr>
        <w:t xml:space="preserve">These findings demonstrate the importance of considering protein flexibility when evaluating ternary complex predictions. By leveraging MD trajectories as dynamic reference structures, we reveal the latent quality of </w:t>
      </w:r>
      <w:proofErr w:type="spellStart"/>
      <w:r w:rsidRPr="00F86C4C">
        <w:rPr>
          <w:rFonts w:ascii="Times New Roman" w:eastAsia="Times New Roman" w:hAnsi="Times New Roman" w:cs="Times New Roman"/>
          <w:kern w:val="0"/>
          <w14:ligatures w14:val="none"/>
        </w:rPr>
        <w:t>PRosettaC</w:t>
      </w:r>
      <w:proofErr w:type="spellEnd"/>
      <w:r w:rsidRPr="00F86C4C">
        <w:rPr>
          <w:rFonts w:ascii="Times New Roman" w:eastAsia="Times New Roman" w:hAnsi="Times New Roman" w:cs="Times New Roman"/>
          <w:kern w:val="0"/>
          <w14:ligatures w14:val="none"/>
        </w:rPr>
        <w:t>-generated models that would otherwise be dismissed using conventional static benchmarks. This frame-resolved analysis may offer a powerful framework for prioritizing degrader candidates whose efficacy is dependent on receptor conformational plasticity.</w:t>
      </w:r>
    </w:p>
    <w:p w14:paraId="52D52D06" w14:textId="355F004A" w:rsidR="00A60452" w:rsidRPr="00F86C4C" w:rsidRDefault="00A60452" w:rsidP="00C84082">
      <w:pPr>
        <w:rPr>
          <w:rFonts w:ascii="Times New Roman" w:hAnsi="Times New Roman" w:cs="Times New Roman"/>
        </w:rPr>
      </w:pPr>
    </w:p>
    <w:sectPr w:rsidR="00A60452" w:rsidRPr="00F86C4C" w:rsidSect="0082038D">
      <w:type w:val="continuous"/>
      <w:pgSz w:w="12240" w:h="15840"/>
      <w:pgMar w:top="634" w:right="1094" w:bottom="274" w:left="1166"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FB3"/>
    <w:rsid w:val="00037800"/>
    <w:rsid w:val="00084328"/>
    <w:rsid w:val="00095073"/>
    <w:rsid w:val="000A3266"/>
    <w:rsid w:val="000E6789"/>
    <w:rsid w:val="00117187"/>
    <w:rsid w:val="001806BB"/>
    <w:rsid w:val="001C1E9A"/>
    <w:rsid w:val="0021322D"/>
    <w:rsid w:val="00240472"/>
    <w:rsid w:val="00296660"/>
    <w:rsid w:val="002B4612"/>
    <w:rsid w:val="002C07EA"/>
    <w:rsid w:val="002D2D1C"/>
    <w:rsid w:val="003426FA"/>
    <w:rsid w:val="00462787"/>
    <w:rsid w:val="00473EB8"/>
    <w:rsid w:val="00491776"/>
    <w:rsid w:val="00496E88"/>
    <w:rsid w:val="004970C2"/>
    <w:rsid w:val="00563232"/>
    <w:rsid w:val="00576171"/>
    <w:rsid w:val="005D5741"/>
    <w:rsid w:val="005F3224"/>
    <w:rsid w:val="00606609"/>
    <w:rsid w:val="0074546A"/>
    <w:rsid w:val="007C6D3B"/>
    <w:rsid w:val="007D7282"/>
    <w:rsid w:val="007E54A7"/>
    <w:rsid w:val="0082038D"/>
    <w:rsid w:val="008253B2"/>
    <w:rsid w:val="0086132E"/>
    <w:rsid w:val="008643CC"/>
    <w:rsid w:val="008719ED"/>
    <w:rsid w:val="00873356"/>
    <w:rsid w:val="008E1F57"/>
    <w:rsid w:val="00953E21"/>
    <w:rsid w:val="00990E20"/>
    <w:rsid w:val="00992341"/>
    <w:rsid w:val="009A40BA"/>
    <w:rsid w:val="009F62F9"/>
    <w:rsid w:val="00A25F37"/>
    <w:rsid w:val="00A46C21"/>
    <w:rsid w:val="00A60452"/>
    <w:rsid w:val="00AB3132"/>
    <w:rsid w:val="00AD1221"/>
    <w:rsid w:val="00B33057"/>
    <w:rsid w:val="00B52BE4"/>
    <w:rsid w:val="00B84BC8"/>
    <w:rsid w:val="00BB107A"/>
    <w:rsid w:val="00BB7FB3"/>
    <w:rsid w:val="00BD0C5F"/>
    <w:rsid w:val="00C00750"/>
    <w:rsid w:val="00C07B55"/>
    <w:rsid w:val="00C84082"/>
    <w:rsid w:val="00C85474"/>
    <w:rsid w:val="00D52CD7"/>
    <w:rsid w:val="00D70C4B"/>
    <w:rsid w:val="00E04B90"/>
    <w:rsid w:val="00E72B1B"/>
    <w:rsid w:val="00E75809"/>
    <w:rsid w:val="00F86C4C"/>
    <w:rsid w:val="00FF2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8A1FE6"/>
  <w15:chartTrackingRefBased/>
  <w15:docId w15:val="{F856DF05-20C2-3F44-AADD-13B1CA3D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082"/>
  </w:style>
  <w:style w:type="paragraph" w:styleId="Heading1">
    <w:name w:val="heading 1"/>
    <w:basedOn w:val="Normal"/>
    <w:next w:val="Normal"/>
    <w:link w:val="Heading1Char"/>
    <w:uiPriority w:val="9"/>
    <w:qFormat/>
    <w:rsid w:val="00BB7F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7F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7F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7F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7F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7F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7F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7F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7F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F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7F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7F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7F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7F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7F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7F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7F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7FB3"/>
    <w:rPr>
      <w:rFonts w:eastAsiaTheme="majorEastAsia" w:cstheme="majorBidi"/>
      <w:color w:val="272727" w:themeColor="text1" w:themeTint="D8"/>
    </w:rPr>
  </w:style>
  <w:style w:type="paragraph" w:styleId="Title">
    <w:name w:val="Title"/>
    <w:basedOn w:val="Normal"/>
    <w:next w:val="Normal"/>
    <w:link w:val="TitleChar"/>
    <w:uiPriority w:val="10"/>
    <w:qFormat/>
    <w:rsid w:val="00BB7F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F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7F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7F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7FB3"/>
    <w:pPr>
      <w:spacing w:before="160"/>
      <w:jc w:val="center"/>
    </w:pPr>
    <w:rPr>
      <w:i/>
      <w:iCs/>
      <w:color w:val="404040" w:themeColor="text1" w:themeTint="BF"/>
    </w:rPr>
  </w:style>
  <w:style w:type="character" w:customStyle="1" w:styleId="QuoteChar">
    <w:name w:val="Quote Char"/>
    <w:basedOn w:val="DefaultParagraphFont"/>
    <w:link w:val="Quote"/>
    <w:uiPriority w:val="29"/>
    <w:rsid w:val="00BB7FB3"/>
    <w:rPr>
      <w:i/>
      <w:iCs/>
      <w:color w:val="404040" w:themeColor="text1" w:themeTint="BF"/>
    </w:rPr>
  </w:style>
  <w:style w:type="paragraph" w:styleId="ListParagraph">
    <w:name w:val="List Paragraph"/>
    <w:basedOn w:val="Normal"/>
    <w:uiPriority w:val="34"/>
    <w:qFormat/>
    <w:rsid w:val="00BB7FB3"/>
    <w:pPr>
      <w:ind w:left="720"/>
      <w:contextualSpacing/>
    </w:pPr>
  </w:style>
  <w:style w:type="character" w:styleId="IntenseEmphasis">
    <w:name w:val="Intense Emphasis"/>
    <w:basedOn w:val="DefaultParagraphFont"/>
    <w:uiPriority w:val="21"/>
    <w:qFormat/>
    <w:rsid w:val="00BB7FB3"/>
    <w:rPr>
      <w:i/>
      <w:iCs/>
      <w:color w:val="0F4761" w:themeColor="accent1" w:themeShade="BF"/>
    </w:rPr>
  </w:style>
  <w:style w:type="paragraph" w:styleId="IntenseQuote">
    <w:name w:val="Intense Quote"/>
    <w:basedOn w:val="Normal"/>
    <w:next w:val="Normal"/>
    <w:link w:val="IntenseQuoteChar"/>
    <w:uiPriority w:val="30"/>
    <w:qFormat/>
    <w:rsid w:val="00BB7F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7FB3"/>
    <w:rPr>
      <w:i/>
      <w:iCs/>
      <w:color w:val="0F4761" w:themeColor="accent1" w:themeShade="BF"/>
    </w:rPr>
  </w:style>
  <w:style w:type="character" w:styleId="IntenseReference">
    <w:name w:val="Intense Reference"/>
    <w:basedOn w:val="DefaultParagraphFont"/>
    <w:uiPriority w:val="32"/>
    <w:qFormat/>
    <w:rsid w:val="00BB7FB3"/>
    <w:rPr>
      <w:b/>
      <w:bCs/>
      <w:smallCaps/>
      <w:color w:val="0F4761" w:themeColor="accent1" w:themeShade="BF"/>
      <w:spacing w:val="5"/>
    </w:rPr>
  </w:style>
  <w:style w:type="character" w:styleId="Strong">
    <w:name w:val="Strong"/>
    <w:basedOn w:val="DefaultParagraphFont"/>
    <w:uiPriority w:val="22"/>
    <w:qFormat/>
    <w:rsid w:val="0074546A"/>
    <w:rPr>
      <w:b/>
      <w:bCs/>
    </w:rPr>
  </w:style>
  <w:style w:type="character" w:styleId="Emphasis">
    <w:name w:val="Emphasis"/>
    <w:basedOn w:val="DefaultParagraphFont"/>
    <w:uiPriority w:val="20"/>
    <w:qFormat/>
    <w:rsid w:val="0074546A"/>
    <w:rPr>
      <w:i/>
      <w:iCs/>
    </w:rPr>
  </w:style>
  <w:style w:type="paragraph" w:styleId="CommentText">
    <w:name w:val="annotation text"/>
    <w:basedOn w:val="Normal"/>
    <w:link w:val="CommentTextChar"/>
    <w:uiPriority w:val="99"/>
    <w:semiHidden/>
    <w:unhideWhenUsed/>
    <w:rsid w:val="00B33057"/>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33057"/>
    <w:rPr>
      <w:sz w:val="20"/>
      <w:szCs w:val="20"/>
    </w:rPr>
  </w:style>
  <w:style w:type="character" w:styleId="CommentReference">
    <w:name w:val="annotation reference"/>
    <w:basedOn w:val="DefaultParagraphFont"/>
    <w:uiPriority w:val="99"/>
    <w:semiHidden/>
    <w:unhideWhenUsed/>
    <w:rsid w:val="00B33057"/>
    <w:rPr>
      <w:sz w:val="16"/>
      <w:szCs w:val="16"/>
    </w:rPr>
  </w:style>
  <w:style w:type="character" w:styleId="PlaceholderText">
    <w:name w:val="Placeholder Text"/>
    <w:basedOn w:val="DefaultParagraphFont"/>
    <w:uiPriority w:val="99"/>
    <w:semiHidden/>
    <w:rsid w:val="00491776"/>
    <w:rPr>
      <w:color w:val="666666"/>
    </w:rPr>
  </w:style>
  <w:style w:type="character" w:styleId="HTMLCode">
    <w:name w:val="HTML Code"/>
    <w:basedOn w:val="DefaultParagraphFont"/>
    <w:uiPriority w:val="99"/>
    <w:semiHidden/>
    <w:unhideWhenUsed/>
    <w:rsid w:val="00E04B90"/>
    <w:rPr>
      <w:rFonts w:ascii="Courier New" w:eastAsia="Times New Roman" w:hAnsi="Courier New" w:cs="Courier New"/>
      <w:sz w:val="20"/>
      <w:szCs w:val="20"/>
    </w:rPr>
  </w:style>
  <w:style w:type="character" w:styleId="Hyperlink">
    <w:name w:val="Hyperlink"/>
    <w:basedOn w:val="DefaultParagraphFont"/>
    <w:uiPriority w:val="99"/>
    <w:unhideWhenUsed/>
    <w:rsid w:val="00C07B5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20074">
      <w:bodyDiv w:val="1"/>
      <w:marLeft w:val="0"/>
      <w:marRight w:val="0"/>
      <w:marTop w:val="0"/>
      <w:marBottom w:val="0"/>
      <w:divBdr>
        <w:top w:val="none" w:sz="0" w:space="0" w:color="auto"/>
        <w:left w:val="none" w:sz="0" w:space="0" w:color="auto"/>
        <w:bottom w:val="none" w:sz="0" w:space="0" w:color="auto"/>
        <w:right w:val="none" w:sz="0" w:space="0" w:color="auto"/>
      </w:divBdr>
      <w:divsChild>
        <w:div w:id="1470123581">
          <w:marLeft w:val="0"/>
          <w:marRight w:val="0"/>
          <w:marTop w:val="0"/>
          <w:marBottom w:val="0"/>
          <w:divBdr>
            <w:top w:val="none" w:sz="0" w:space="0" w:color="auto"/>
            <w:left w:val="none" w:sz="0" w:space="0" w:color="auto"/>
            <w:bottom w:val="none" w:sz="0" w:space="0" w:color="auto"/>
            <w:right w:val="none" w:sz="0" w:space="0" w:color="auto"/>
          </w:divBdr>
          <w:divsChild>
            <w:div w:id="1822113812">
              <w:marLeft w:val="0"/>
              <w:marRight w:val="0"/>
              <w:marTop w:val="0"/>
              <w:marBottom w:val="0"/>
              <w:divBdr>
                <w:top w:val="none" w:sz="0" w:space="0" w:color="auto"/>
                <w:left w:val="none" w:sz="0" w:space="0" w:color="auto"/>
                <w:bottom w:val="none" w:sz="0" w:space="0" w:color="auto"/>
                <w:right w:val="none" w:sz="0" w:space="0" w:color="auto"/>
              </w:divBdr>
            </w:div>
            <w:div w:id="1420524565">
              <w:marLeft w:val="0"/>
              <w:marRight w:val="0"/>
              <w:marTop w:val="0"/>
              <w:marBottom w:val="0"/>
              <w:divBdr>
                <w:top w:val="none" w:sz="0" w:space="0" w:color="auto"/>
                <w:left w:val="none" w:sz="0" w:space="0" w:color="auto"/>
                <w:bottom w:val="none" w:sz="0" w:space="0" w:color="auto"/>
                <w:right w:val="none" w:sz="0" w:space="0" w:color="auto"/>
              </w:divBdr>
            </w:div>
            <w:div w:id="1551377044">
              <w:marLeft w:val="0"/>
              <w:marRight w:val="0"/>
              <w:marTop w:val="0"/>
              <w:marBottom w:val="0"/>
              <w:divBdr>
                <w:top w:val="none" w:sz="0" w:space="0" w:color="auto"/>
                <w:left w:val="none" w:sz="0" w:space="0" w:color="auto"/>
                <w:bottom w:val="none" w:sz="0" w:space="0" w:color="auto"/>
                <w:right w:val="none" w:sz="0" w:space="0" w:color="auto"/>
              </w:divBdr>
            </w:div>
            <w:div w:id="714937356">
              <w:marLeft w:val="0"/>
              <w:marRight w:val="0"/>
              <w:marTop w:val="0"/>
              <w:marBottom w:val="0"/>
              <w:divBdr>
                <w:top w:val="none" w:sz="0" w:space="0" w:color="auto"/>
                <w:left w:val="none" w:sz="0" w:space="0" w:color="auto"/>
                <w:bottom w:val="none" w:sz="0" w:space="0" w:color="auto"/>
                <w:right w:val="none" w:sz="0" w:space="0" w:color="auto"/>
              </w:divBdr>
            </w:div>
            <w:div w:id="724062142">
              <w:marLeft w:val="0"/>
              <w:marRight w:val="0"/>
              <w:marTop w:val="0"/>
              <w:marBottom w:val="0"/>
              <w:divBdr>
                <w:top w:val="none" w:sz="0" w:space="0" w:color="auto"/>
                <w:left w:val="none" w:sz="0" w:space="0" w:color="auto"/>
                <w:bottom w:val="none" w:sz="0" w:space="0" w:color="auto"/>
                <w:right w:val="none" w:sz="0" w:space="0" w:color="auto"/>
              </w:divBdr>
            </w:div>
            <w:div w:id="1279608281">
              <w:marLeft w:val="0"/>
              <w:marRight w:val="0"/>
              <w:marTop w:val="0"/>
              <w:marBottom w:val="0"/>
              <w:divBdr>
                <w:top w:val="none" w:sz="0" w:space="0" w:color="auto"/>
                <w:left w:val="none" w:sz="0" w:space="0" w:color="auto"/>
                <w:bottom w:val="none" w:sz="0" w:space="0" w:color="auto"/>
                <w:right w:val="none" w:sz="0" w:space="0" w:color="auto"/>
              </w:divBdr>
            </w:div>
            <w:div w:id="599218334">
              <w:marLeft w:val="0"/>
              <w:marRight w:val="0"/>
              <w:marTop w:val="0"/>
              <w:marBottom w:val="0"/>
              <w:divBdr>
                <w:top w:val="none" w:sz="0" w:space="0" w:color="auto"/>
                <w:left w:val="none" w:sz="0" w:space="0" w:color="auto"/>
                <w:bottom w:val="none" w:sz="0" w:space="0" w:color="auto"/>
                <w:right w:val="none" w:sz="0" w:space="0" w:color="auto"/>
              </w:divBdr>
            </w:div>
            <w:div w:id="1495952725">
              <w:marLeft w:val="0"/>
              <w:marRight w:val="0"/>
              <w:marTop w:val="0"/>
              <w:marBottom w:val="0"/>
              <w:divBdr>
                <w:top w:val="none" w:sz="0" w:space="0" w:color="auto"/>
                <w:left w:val="none" w:sz="0" w:space="0" w:color="auto"/>
                <w:bottom w:val="none" w:sz="0" w:space="0" w:color="auto"/>
                <w:right w:val="none" w:sz="0" w:space="0" w:color="auto"/>
              </w:divBdr>
            </w:div>
            <w:div w:id="142889701">
              <w:marLeft w:val="0"/>
              <w:marRight w:val="0"/>
              <w:marTop w:val="0"/>
              <w:marBottom w:val="0"/>
              <w:divBdr>
                <w:top w:val="none" w:sz="0" w:space="0" w:color="auto"/>
                <w:left w:val="none" w:sz="0" w:space="0" w:color="auto"/>
                <w:bottom w:val="none" w:sz="0" w:space="0" w:color="auto"/>
                <w:right w:val="none" w:sz="0" w:space="0" w:color="auto"/>
              </w:divBdr>
            </w:div>
            <w:div w:id="957099693">
              <w:marLeft w:val="0"/>
              <w:marRight w:val="0"/>
              <w:marTop w:val="0"/>
              <w:marBottom w:val="0"/>
              <w:divBdr>
                <w:top w:val="none" w:sz="0" w:space="0" w:color="auto"/>
                <w:left w:val="none" w:sz="0" w:space="0" w:color="auto"/>
                <w:bottom w:val="none" w:sz="0" w:space="0" w:color="auto"/>
                <w:right w:val="none" w:sz="0" w:space="0" w:color="auto"/>
              </w:divBdr>
            </w:div>
            <w:div w:id="814178647">
              <w:marLeft w:val="0"/>
              <w:marRight w:val="0"/>
              <w:marTop w:val="0"/>
              <w:marBottom w:val="0"/>
              <w:divBdr>
                <w:top w:val="none" w:sz="0" w:space="0" w:color="auto"/>
                <w:left w:val="none" w:sz="0" w:space="0" w:color="auto"/>
                <w:bottom w:val="none" w:sz="0" w:space="0" w:color="auto"/>
                <w:right w:val="none" w:sz="0" w:space="0" w:color="auto"/>
              </w:divBdr>
            </w:div>
            <w:div w:id="1859732477">
              <w:marLeft w:val="0"/>
              <w:marRight w:val="0"/>
              <w:marTop w:val="0"/>
              <w:marBottom w:val="0"/>
              <w:divBdr>
                <w:top w:val="none" w:sz="0" w:space="0" w:color="auto"/>
                <w:left w:val="none" w:sz="0" w:space="0" w:color="auto"/>
                <w:bottom w:val="none" w:sz="0" w:space="0" w:color="auto"/>
                <w:right w:val="none" w:sz="0" w:space="0" w:color="auto"/>
              </w:divBdr>
            </w:div>
            <w:div w:id="1849982918">
              <w:marLeft w:val="0"/>
              <w:marRight w:val="0"/>
              <w:marTop w:val="0"/>
              <w:marBottom w:val="0"/>
              <w:divBdr>
                <w:top w:val="none" w:sz="0" w:space="0" w:color="auto"/>
                <w:left w:val="none" w:sz="0" w:space="0" w:color="auto"/>
                <w:bottom w:val="none" w:sz="0" w:space="0" w:color="auto"/>
                <w:right w:val="none" w:sz="0" w:space="0" w:color="auto"/>
              </w:divBdr>
            </w:div>
            <w:div w:id="1815641826">
              <w:marLeft w:val="0"/>
              <w:marRight w:val="0"/>
              <w:marTop w:val="0"/>
              <w:marBottom w:val="0"/>
              <w:divBdr>
                <w:top w:val="none" w:sz="0" w:space="0" w:color="auto"/>
                <w:left w:val="none" w:sz="0" w:space="0" w:color="auto"/>
                <w:bottom w:val="none" w:sz="0" w:space="0" w:color="auto"/>
                <w:right w:val="none" w:sz="0" w:space="0" w:color="auto"/>
              </w:divBdr>
            </w:div>
            <w:div w:id="1433667572">
              <w:marLeft w:val="0"/>
              <w:marRight w:val="0"/>
              <w:marTop w:val="0"/>
              <w:marBottom w:val="0"/>
              <w:divBdr>
                <w:top w:val="none" w:sz="0" w:space="0" w:color="auto"/>
                <w:left w:val="none" w:sz="0" w:space="0" w:color="auto"/>
                <w:bottom w:val="none" w:sz="0" w:space="0" w:color="auto"/>
                <w:right w:val="none" w:sz="0" w:space="0" w:color="auto"/>
              </w:divBdr>
            </w:div>
            <w:div w:id="934938342">
              <w:marLeft w:val="0"/>
              <w:marRight w:val="0"/>
              <w:marTop w:val="0"/>
              <w:marBottom w:val="0"/>
              <w:divBdr>
                <w:top w:val="none" w:sz="0" w:space="0" w:color="auto"/>
                <w:left w:val="none" w:sz="0" w:space="0" w:color="auto"/>
                <w:bottom w:val="none" w:sz="0" w:space="0" w:color="auto"/>
                <w:right w:val="none" w:sz="0" w:space="0" w:color="auto"/>
              </w:divBdr>
            </w:div>
            <w:div w:id="808322019">
              <w:marLeft w:val="0"/>
              <w:marRight w:val="0"/>
              <w:marTop w:val="0"/>
              <w:marBottom w:val="0"/>
              <w:divBdr>
                <w:top w:val="none" w:sz="0" w:space="0" w:color="auto"/>
                <w:left w:val="none" w:sz="0" w:space="0" w:color="auto"/>
                <w:bottom w:val="none" w:sz="0" w:space="0" w:color="auto"/>
                <w:right w:val="none" w:sz="0" w:space="0" w:color="auto"/>
              </w:divBdr>
            </w:div>
            <w:div w:id="523859335">
              <w:marLeft w:val="0"/>
              <w:marRight w:val="0"/>
              <w:marTop w:val="0"/>
              <w:marBottom w:val="0"/>
              <w:divBdr>
                <w:top w:val="none" w:sz="0" w:space="0" w:color="auto"/>
                <w:left w:val="none" w:sz="0" w:space="0" w:color="auto"/>
                <w:bottom w:val="none" w:sz="0" w:space="0" w:color="auto"/>
                <w:right w:val="none" w:sz="0" w:space="0" w:color="auto"/>
              </w:divBdr>
            </w:div>
            <w:div w:id="1958833735">
              <w:marLeft w:val="0"/>
              <w:marRight w:val="0"/>
              <w:marTop w:val="0"/>
              <w:marBottom w:val="0"/>
              <w:divBdr>
                <w:top w:val="none" w:sz="0" w:space="0" w:color="auto"/>
                <w:left w:val="none" w:sz="0" w:space="0" w:color="auto"/>
                <w:bottom w:val="none" w:sz="0" w:space="0" w:color="auto"/>
                <w:right w:val="none" w:sz="0" w:space="0" w:color="auto"/>
              </w:divBdr>
            </w:div>
            <w:div w:id="1199274276">
              <w:marLeft w:val="0"/>
              <w:marRight w:val="0"/>
              <w:marTop w:val="0"/>
              <w:marBottom w:val="0"/>
              <w:divBdr>
                <w:top w:val="none" w:sz="0" w:space="0" w:color="auto"/>
                <w:left w:val="none" w:sz="0" w:space="0" w:color="auto"/>
                <w:bottom w:val="none" w:sz="0" w:space="0" w:color="auto"/>
                <w:right w:val="none" w:sz="0" w:space="0" w:color="auto"/>
              </w:divBdr>
            </w:div>
            <w:div w:id="2126922440">
              <w:marLeft w:val="0"/>
              <w:marRight w:val="0"/>
              <w:marTop w:val="0"/>
              <w:marBottom w:val="0"/>
              <w:divBdr>
                <w:top w:val="none" w:sz="0" w:space="0" w:color="auto"/>
                <w:left w:val="none" w:sz="0" w:space="0" w:color="auto"/>
                <w:bottom w:val="none" w:sz="0" w:space="0" w:color="auto"/>
                <w:right w:val="none" w:sz="0" w:space="0" w:color="auto"/>
              </w:divBdr>
            </w:div>
            <w:div w:id="123668861">
              <w:marLeft w:val="0"/>
              <w:marRight w:val="0"/>
              <w:marTop w:val="0"/>
              <w:marBottom w:val="0"/>
              <w:divBdr>
                <w:top w:val="none" w:sz="0" w:space="0" w:color="auto"/>
                <w:left w:val="none" w:sz="0" w:space="0" w:color="auto"/>
                <w:bottom w:val="none" w:sz="0" w:space="0" w:color="auto"/>
                <w:right w:val="none" w:sz="0" w:space="0" w:color="auto"/>
              </w:divBdr>
            </w:div>
            <w:div w:id="2077824638">
              <w:marLeft w:val="0"/>
              <w:marRight w:val="0"/>
              <w:marTop w:val="0"/>
              <w:marBottom w:val="0"/>
              <w:divBdr>
                <w:top w:val="none" w:sz="0" w:space="0" w:color="auto"/>
                <w:left w:val="none" w:sz="0" w:space="0" w:color="auto"/>
                <w:bottom w:val="none" w:sz="0" w:space="0" w:color="auto"/>
                <w:right w:val="none" w:sz="0" w:space="0" w:color="auto"/>
              </w:divBdr>
            </w:div>
            <w:div w:id="1655984148">
              <w:marLeft w:val="0"/>
              <w:marRight w:val="0"/>
              <w:marTop w:val="0"/>
              <w:marBottom w:val="0"/>
              <w:divBdr>
                <w:top w:val="none" w:sz="0" w:space="0" w:color="auto"/>
                <w:left w:val="none" w:sz="0" w:space="0" w:color="auto"/>
                <w:bottom w:val="none" w:sz="0" w:space="0" w:color="auto"/>
                <w:right w:val="none" w:sz="0" w:space="0" w:color="auto"/>
              </w:divBdr>
            </w:div>
            <w:div w:id="948396049">
              <w:marLeft w:val="0"/>
              <w:marRight w:val="0"/>
              <w:marTop w:val="0"/>
              <w:marBottom w:val="0"/>
              <w:divBdr>
                <w:top w:val="none" w:sz="0" w:space="0" w:color="auto"/>
                <w:left w:val="none" w:sz="0" w:space="0" w:color="auto"/>
                <w:bottom w:val="none" w:sz="0" w:space="0" w:color="auto"/>
                <w:right w:val="none" w:sz="0" w:space="0" w:color="auto"/>
              </w:divBdr>
            </w:div>
            <w:div w:id="245842213">
              <w:marLeft w:val="0"/>
              <w:marRight w:val="0"/>
              <w:marTop w:val="0"/>
              <w:marBottom w:val="0"/>
              <w:divBdr>
                <w:top w:val="none" w:sz="0" w:space="0" w:color="auto"/>
                <w:left w:val="none" w:sz="0" w:space="0" w:color="auto"/>
                <w:bottom w:val="none" w:sz="0" w:space="0" w:color="auto"/>
                <w:right w:val="none" w:sz="0" w:space="0" w:color="auto"/>
              </w:divBdr>
            </w:div>
            <w:div w:id="1017544628">
              <w:marLeft w:val="0"/>
              <w:marRight w:val="0"/>
              <w:marTop w:val="0"/>
              <w:marBottom w:val="0"/>
              <w:divBdr>
                <w:top w:val="none" w:sz="0" w:space="0" w:color="auto"/>
                <w:left w:val="none" w:sz="0" w:space="0" w:color="auto"/>
                <w:bottom w:val="none" w:sz="0" w:space="0" w:color="auto"/>
                <w:right w:val="none" w:sz="0" w:space="0" w:color="auto"/>
              </w:divBdr>
            </w:div>
            <w:div w:id="1265728793">
              <w:marLeft w:val="0"/>
              <w:marRight w:val="0"/>
              <w:marTop w:val="0"/>
              <w:marBottom w:val="0"/>
              <w:divBdr>
                <w:top w:val="none" w:sz="0" w:space="0" w:color="auto"/>
                <w:left w:val="none" w:sz="0" w:space="0" w:color="auto"/>
                <w:bottom w:val="none" w:sz="0" w:space="0" w:color="auto"/>
                <w:right w:val="none" w:sz="0" w:space="0" w:color="auto"/>
              </w:divBdr>
            </w:div>
            <w:div w:id="1401557696">
              <w:marLeft w:val="0"/>
              <w:marRight w:val="0"/>
              <w:marTop w:val="0"/>
              <w:marBottom w:val="0"/>
              <w:divBdr>
                <w:top w:val="none" w:sz="0" w:space="0" w:color="auto"/>
                <w:left w:val="none" w:sz="0" w:space="0" w:color="auto"/>
                <w:bottom w:val="none" w:sz="0" w:space="0" w:color="auto"/>
                <w:right w:val="none" w:sz="0" w:space="0" w:color="auto"/>
              </w:divBdr>
            </w:div>
            <w:div w:id="1310670689">
              <w:marLeft w:val="0"/>
              <w:marRight w:val="0"/>
              <w:marTop w:val="0"/>
              <w:marBottom w:val="0"/>
              <w:divBdr>
                <w:top w:val="none" w:sz="0" w:space="0" w:color="auto"/>
                <w:left w:val="none" w:sz="0" w:space="0" w:color="auto"/>
                <w:bottom w:val="none" w:sz="0" w:space="0" w:color="auto"/>
                <w:right w:val="none" w:sz="0" w:space="0" w:color="auto"/>
              </w:divBdr>
            </w:div>
            <w:div w:id="2174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4900">
      <w:bodyDiv w:val="1"/>
      <w:marLeft w:val="0"/>
      <w:marRight w:val="0"/>
      <w:marTop w:val="0"/>
      <w:marBottom w:val="0"/>
      <w:divBdr>
        <w:top w:val="none" w:sz="0" w:space="0" w:color="auto"/>
        <w:left w:val="none" w:sz="0" w:space="0" w:color="auto"/>
        <w:bottom w:val="none" w:sz="0" w:space="0" w:color="auto"/>
        <w:right w:val="none" w:sz="0" w:space="0" w:color="auto"/>
      </w:divBdr>
    </w:div>
    <w:div w:id="200280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mailto:sschurer@miami.edu"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1589</Words>
  <Characters>10013</Characters>
  <Application>Microsoft Office Word</Application>
  <DocSecurity>0</DocSecurity>
  <Lines>156</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Schulz, Joey</dc:creator>
  <cp:keywords/>
  <dc:description/>
  <cp:lastModifiedBy>Schürer, Stephan</cp:lastModifiedBy>
  <cp:revision>4</cp:revision>
  <dcterms:created xsi:type="dcterms:W3CDTF">2025-06-10T13:27:00Z</dcterms:created>
  <dcterms:modified xsi:type="dcterms:W3CDTF">2025-06-10T23:09:00Z</dcterms:modified>
</cp:coreProperties>
</file>