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57D4" w14:textId="77777777" w:rsidR="00D16516" w:rsidRPr="00A503EF" w:rsidRDefault="00D16516" w:rsidP="00D16516">
      <w:pPr>
        <w:spacing w:before="240" w:after="240"/>
        <w:rPr>
          <w:i/>
        </w:rPr>
      </w:pPr>
      <w:r w:rsidRPr="00A503EF">
        <w:rPr>
          <w:b/>
          <w:i/>
        </w:rPr>
        <w:t xml:space="preserve">Table 1. Common Readmission Factors for AMI Patients. </w:t>
      </w:r>
      <w:r w:rsidRPr="00A503EF">
        <w:rPr>
          <w:i/>
        </w:rPr>
        <w:t>This table displays the frequency and percentage of key clinical and behavioral factors associated with 30-day readmissions in AMI patients (n = 10). Variables assessed include hypertension, diabetes, obesity, medication non-compliance, and smoking history. All patients presented with hypertension, obesity, and smoking behaviors.</w:t>
      </w:r>
    </w:p>
    <w:p w14:paraId="1775446C" w14:textId="77777777" w:rsidR="00D16516" w:rsidRPr="00A503EF" w:rsidRDefault="00D16516" w:rsidP="00D16516">
      <w:pPr>
        <w:rPr>
          <w:b/>
          <w:i/>
        </w:rPr>
      </w:pPr>
      <w:r w:rsidRPr="00A503EF">
        <w:rPr>
          <w:b/>
          <w:i/>
          <w:noProof/>
        </w:rPr>
        <w:drawing>
          <wp:inline distT="114300" distB="114300" distL="114300" distR="114300" wp14:anchorId="571AF3E7" wp14:editId="400BC919">
            <wp:extent cx="6146800" cy="3003550"/>
            <wp:effectExtent l="0" t="0" r="6350" b="63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300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CEA600" w14:textId="77777777" w:rsidR="00D16516" w:rsidRDefault="00D16516" w:rsidP="00D16516">
      <w:pPr>
        <w:rPr>
          <w:b/>
          <w:i/>
        </w:rPr>
      </w:pPr>
      <w:r>
        <w:rPr>
          <w:b/>
          <w:i/>
        </w:rPr>
        <w:br w:type="page"/>
      </w:r>
    </w:p>
    <w:p w14:paraId="7AC2FB67" w14:textId="77777777" w:rsidR="00D16516" w:rsidRPr="00A503EF" w:rsidRDefault="00D16516" w:rsidP="00D16516">
      <w:pPr>
        <w:spacing w:before="240" w:after="240"/>
        <w:rPr>
          <w:i/>
        </w:rPr>
      </w:pPr>
      <w:r w:rsidRPr="00A503EF">
        <w:rPr>
          <w:b/>
          <w:i/>
        </w:rPr>
        <w:lastRenderedPageBreak/>
        <w:t xml:space="preserve">Table 2. Common Readmission Factors for HF Patients. </w:t>
      </w:r>
      <w:r w:rsidRPr="00A503EF">
        <w:rPr>
          <w:i/>
        </w:rPr>
        <w:t>This table summarizes the distribution of major risk factors contributing to readmission among HF patients (n = 10). Factors include hypertension, diabetes, obesity, medication non-compliance, and smoking. Medication non-compliance and obesity were the most prevalent contributors among this group.</w:t>
      </w:r>
    </w:p>
    <w:p w14:paraId="2533A178" w14:textId="77777777" w:rsidR="00D16516" w:rsidRPr="00A503EF" w:rsidRDefault="00D16516" w:rsidP="00D16516">
      <w:pPr>
        <w:spacing w:before="240" w:after="240"/>
      </w:pPr>
      <w:r w:rsidRPr="00A503EF">
        <w:t xml:space="preserve"> </w:t>
      </w:r>
      <w:r w:rsidRPr="00A503EF">
        <w:rPr>
          <w:noProof/>
        </w:rPr>
        <w:drawing>
          <wp:inline distT="114300" distB="114300" distL="114300" distR="114300" wp14:anchorId="1F2E984E" wp14:editId="5995A21B">
            <wp:extent cx="5943600" cy="3238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C64698" w14:textId="77777777" w:rsidR="00D16516" w:rsidRDefault="00D16516" w:rsidP="00D16516">
      <w:pPr>
        <w:rPr>
          <w:b/>
          <w:i/>
        </w:rPr>
      </w:pPr>
      <w:r>
        <w:rPr>
          <w:b/>
          <w:i/>
        </w:rPr>
        <w:br w:type="page"/>
      </w:r>
    </w:p>
    <w:p w14:paraId="798F126D" w14:textId="77777777" w:rsidR="00D16516" w:rsidRPr="00A503EF" w:rsidRDefault="00D16516" w:rsidP="00D16516">
      <w:pPr>
        <w:spacing w:before="240" w:after="240"/>
        <w:rPr>
          <w:i/>
        </w:rPr>
      </w:pPr>
      <w:r w:rsidRPr="00A503EF">
        <w:rPr>
          <w:b/>
          <w:i/>
        </w:rPr>
        <w:lastRenderedPageBreak/>
        <w:t>Table 3. Common Readmission Factors for PNA Patients</w:t>
      </w:r>
      <w:r w:rsidRPr="00A503EF">
        <w:rPr>
          <w:i/>
        </w:rPr>
        <w:t>. This table outlines the presence of clinical and functional factors linked to pneumonia readmissions (n = 10). These include vaccination status, ADL (activities of daily living) scores, swallowing dysfunction, and smoking. Swallowing dysfunction and impaired functional status were found in nearly all readmitted patients.</w:t>
      </w:r>
    </w:p>
    <w:p w14:paraId="00C2DE4E" w14:textId="77777777" w:rsidR="00D16516" w:rsidRPr="00A503EF" w:rsidRDefault="00D16516" w:rsidP="00D16516">
      <w:pPr>
        <w:rPr>
          <w:b/>
        </w:rPr>
      </w:pPr>
      <w:r w:rsidRPr="00A503EF">
        <w:rPr>
          <w:b/>
          <w:noProof/>
        </w:rPr>
        <w:drawing>
          <wp:inline distT="114300" distB="114300" distL="114300" distR="114300" wp14:anchorId="5C78C15F" wp14:editId="1F9F3201">
            <wp:extent cx="5943600" cy="2933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D70FCE" w14:textId="77777777" w:rsidR="00D16516" w:rsidRDefault="00D16516" w:rsidP="00D16516">
      <w:pPr>
        <w:spacing w:before="240" w:after="240"/>
        <w:rPr>
          <w:b/>
        </w:rPr>
      </w:pPr>
    </w:p>
    <w:p w14:paraId="2B8637E4" w14:textId="77777777" w:rsidR="00D16516" w:rsidRDefault="00D16516" w:rsidP="00D16516">
      <w:pPr>
        <w:rPr>
          <w:b/>
        </w:rPr>
      </w:pPr>
      <w:r>
        <w:rPr>
          <w:b/>
        </w:rPr>
        <w:br w:type="page"/>
      </w:r>
    </w:p>
    <w:p w14:paraId="5213E2E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16"/>
    <w:rsid w:val="00195413"/>
    <w:rsid w:val="0020312B"/>
    <w:rsid w:val="003D0186"/>
    <w:rsid w:val="007278E4"/>
    <w:rsid w:val="00A3738C"/>
    <w:rsid w:val="00BC6C35"/>
    <w:rsid w:val="00CB270D"/>
    <w:rsid w:val="00CF7583"/>
    <w:rsid w:val="00D16516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2C21"/>
  <w15:chartTrackingRefBased/>
  <w15:docId w15:val="{3C72498A-D4E1-4040-8516-1C8F1C6A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51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5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5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5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5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5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5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5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5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5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5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5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5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5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5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5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5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5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962</Characters>
  <Application>Microsoft Office Word</Application>
  <DocSecurity>0</DocSecurity>
  <Lines>8</Lines>
  <Paragraphs>2</Paragraphs>
  <ScaleCrop>false</ScaleCrop>
  <Company>Springer Nature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2025-06-12T04:29:00Z</dcterms:created>
  <dcterms:modified xsi:type="dcterms:W3CDTF">2025-06-12T04:29:00Z</dcterms:modified>
</cp:coreProperties>
</file>