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A868A" w14:textId="77777777" w:rsidR="00446E9A" w:rsidRDefault="00446E9A" w:rsidP="00446E9A">
      <w:pPr>
        <w:jc w:val="left"/>
      </w:pPr>
      <w:r w:rsidRPr="00DD620B">
        <w:rPr>
          <w:b/>
          <w:bCs/>
        </w:rPr>
        <w:t>SUPPLEMENTARY FIGURES</w:t>
      </w:r>
      <w:r>
        <w:rPr>
          <w:noProof/>
        </w:rPr>
        <w:drawing>
          <wp:inline distT="0" distB="0" distL="0" distR="0" wp14:anchorId="227CDA3E" wp14:editId="2ACD47D4">
            <wp:extent cx="5943600" cy="7708900"/>
            <wp:effectExtent l="0" t="0" r="0" b="6350"/>
            <wp:docPr id="1934730980" name="Picture 1" descr="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730980" name="Picture 1" descr="Diagram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0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D620B">
        <w:rPr>
          <w:u w:val="single"/>
        </w:rPr>
        <w:lastRenderedPageBreak/>
        <w:t>Supplementary Figure 1</w:t>
      </w:r>
      <w:r>
        <w:t>. A. Uniform Manifold Approximation and Projection for Dimension Reduction (UMAP) plot of the NF1-associated nerve sheath tumor single-cell RNAseq reference dataset. B. Heatmap of inferCNV result comparing cells from fibroblast, Schwann cell, and malignant cell clusters to normal cells.</w:t>
      </w:r>
    </w:p>
    <w:p w14:paraId="60B81873" w14:textId="77777777" w:rsidR="00446E9A" w:rsidRDefault="00446E9A" w:rsidP="00446E9A">
      <w:pPr>
        <w:spacing w:line="240" w:lineRule="auto"/>
        <w:jc w:val="left"/>
      </w:pPr>
      <w:r>
        <w:br w:type="page"/>
      </w:r>
    </w:p>
    <w:p w14:paraId="118ED616" w14:textId="77777777" w:rsidR="00446E9A" w:rsidRDefault="00446E9A" w:rsidP="00446E9A">
      <w:pPr>
        <w:jc w:val="left"/>
      </w:pPr>
    </w:p>
    <w:p w14:paraId="2FB7C975" w14:textId="77777777" w:rsidR="00446E9A" w:rsidRDefault="00446E9A" w:rsidP="00446E9A">
      <w:pPr>
        <w:jc w:val="left"/>
      </w:pPr>
      <w:r>
        <w:rPr>
          <w:noProof/>
        </w:rPr>
        <w:drawing>
          <wp:inline distT="0" distB="0" distL="0" distR="0" wp14:anchorId="2049588C" wp14:editId="38D6C61B">
            <wp:extent cx="5943600" cy="6968490"/>
            <wp:effectExtent l="0" t="0" r="0" b="3810"/>
            <wp:docPr id="1423766948" name="Picture 1" descr="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766948" name="Picture 1" descr="Char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96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86193" w14:textId="77777777" w:rsidR="00446E9A" w:rsidRDefault="00446E9A" w:rsidP="00446E9A">
      <w:pPr>
        <w:jc w:val="left"/>
      </w:pPr>
      <w:r w:rsidRPr="00DD620B">
        <w:rPr>
          <w:u w:val="single"/>
        </w:rPr>
        <w:t>Supplementary Figure 2</w:t>
      </w:r>
      <w:r>
        <w:t xml:space="preserve">. Heatmap of inferCNV result comparing cells from the “Malignant cell 1” cluster (A), “Malignant cell 2” cluster (B), and “Bridging malignant cell” </w:t>
      </w:r>
      <w:r>
        <w:lastRenderedPageBreak/>
        <w:t>cluster (C). D. Distribution of individual specimen contributing cells to the “Bridging malignant cell” cluster.</w:t>
      </w:r>
    </w:p>
    <w:p w14:paraId="1484169A" w14:textId="77777777" w:rsidR="00446E9A" w:rsidRDefault="00446E9A" w:rsidP="00446E9A">
      <w:pPr>
        <w:spacing w:line="240" w:lineRule="auto"/>
        <w:jc w:val="left"/>
      </w:pPr>
      <w:r>
        <w:br w:type="page"/>
      </w:r>
    </w:p>
    <w:p w14:paraId="2A63CF63" w14:textId="77777777" w:rsidR="00446E9A" w:rsidRDefault="00446E9A" w:rsidP="00446E9A">
      <w:pPr>
        <w:jc w:val="left"/>
      </w:pPr>
    </w:p>
    <w:p w14:paraId="5217E0B5" w14:textId="77777777" w:rsidR="00446E9A" w:rsidRDefault="00446E9A" w:rsidP="00446E9A">
      <w:pPr>
        <w:jc w:val="left"/>
      </w:pPr>
      <w:r w:rsidRPr="00D57819">
        <w:rPr>
          <w:noProof/>
        </w:rPr>
        <w:drawing>
          <wp:inline distT="0" distB="0" distL="0" distR="0" wp14:anchorId="227ACC15" wp14:editId="5BF40609">
            <wp:extent cx="5943600" cy="4641215"/>
            <wp:effectExtent l="0" t="0" r="0" b="6985"/>
            <wp:docPr id="18414975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4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44E20" w14:textId="77777777" w:rsidR="00446E9A" w:rsidRDefault="00446E9A" w:rsidP="00446E9A">
      <w:pPr>
        <w:jc w:val="left"/>
      </w:pPr>
      <w:r w:rsidRPr="00DD620B">
        <w:rPr>
          <w:u w:val="single"/>
        </w:rPr>
        <w:t>Supplementary Figure 3</w:t>
      </w:r>
      <w:r>
        <w:t>. A. Box plot showing the distribution of median malignant score calculated from cells of independent cohort of single-cell or single-nuclei RNAseq dataset. B. UMAP plot of single-cell RNAseq data showing similar transcriptional profiles between the core needle biopsy (left panel) and resection (right panel) of tumor19. The red line-circled cells are malignant cells.</w:t>
      </w:r>
    </w:p>
    <w:p w14:paraId="1B0621AE" w14:textId="77777777" w:rsidR="00446E9A" w:rsidRDefault="00446E9A" w:rsidP="00446E9A">
      <w:pPr>
        <w:jc w:val="left"/>
      </w:pPr>
      <w:r>
        <w:rPr>
          <w:noProof/>
        </w:rPr>
        <w:lastRenderedPageBreak/>
        <w:drawing>
          <wp:inline distT="0" distB="0" distL="0" distR="0" wp14:anchorId="3B988141" wp14:editId="64A3695C">
            <wp:extent cx="5943600" cy="3901440"/>
            <wp:effectExtent l="0" t="0" r="0" b="3810"/>
            <wp:docPr id="539280898" name="Picture 1" descr="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280898" name="Picture 1" descr="Diagram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0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6D405" w14:textId="77777777" w:rsidR="00446E9A" w:rsidRDefault="00446E9A" w:rsidP="00446E9A">
      <w:pPr>
        <w:jc w:val="left"/>
      </w:pPr>
      <w:r w:rsidRPr="00DD620B">
        <w:rPr>
          <w:u w:val="single"/>
        </w:rPr>
        <w:t>Supplementary Figure 4</w:t>
      </w:r>
      <w:r>
        <w:t>. A. Flow chart demonstrating the steps and criterion for plasma biomarker identification using NF1 single-cell RNAseq reference dataset. B. tSNE plot showing the expression and distribution of 127 single-cell informed gene markers in the reference dataset.</w:t>
      </w:r>
    </w:p>
    <w:p w14:paraId="1940AC6B" w14:textId="77777777" w:rsidR="00446E9A" w:rsidRDefault="00446E9A" w:rsidP="00446E9A">
      <w:pPr>
        <w:jc w:val="left"/>
      </w:pPr>
      <w:r>
        <w:rPr>
          <w:noProof/>
        </w:rPr>
        <w:lastRenderedPageBreak/>
        <w:drawing>
          <wp:inline distT="0" distB="0" distL="0" distR="0" wp14:anchorId="6C0DEAF3" wp14:editId="6CFB6822">
            <wp:extent cx="5869940" cy="8229600"/>
            <wp:effectExtent l="0" t="0" r="0" b="0"/>
            <wp:docPr id="18086466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64665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6994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34E39" w14:textId="77777777" w:rsidR="00446E9A" w:rsidRDefault="00446E9A" w:rsidP="00446E9A">
      <w:pPr>
        <w:jc w:val="left"/>
      </w:pPr>
      <w:r w:rsidRPr="00DD620B">
        <w:rPr>
          <w:u w:val="single"/>
        </w:rPr>
        <w:lastRenderedPageBreak/>
        <w:t>Supplementary Figure 5</w:t>
      </w:r>
      <w:r>
        <w:t>. Receiver operating characteristic (ROC) curve of 50 individual plasma biomarkers identified in this study.</w:t>
      </w:r>
    </w:p>
    <w:p w14:paraId="165FDA78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E9A"/>
    <w:rsid w:val="002978F5"/>
    <w:rsid w:val="003852CF"/>
    <w:rsid w:val="003B15D7"/>
    <w:rsid w:val="00446E9A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AEDEC"/>
  <w15:chartTrackingRefBased/>
  <w15:docId w15:val="{A6F8BBC8-EB83-44C2-8D16-70727C156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6E9A"/>
    <w:pPr>
      <w:spacing w:after="0" w:line="360" w:lineRule="auto"/>
      <w:jc w:val="both"/>
    </w:pPr>
    <w:rPr>
      <w:rFonts w:ascii="Arial" w:eastAsiaTheme="minorEastAsia" w:hAnsi="Arial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6E9A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6E9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6E9A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6E9A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6E9A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6E9A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6E9A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6E9A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6E9A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6E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6E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6E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6E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6E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6E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6E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6E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6E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6E9A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46E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6E9A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46E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6E9A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46E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6E9A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46E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6E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6E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6E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2025-06-17T11:39:00Z</dcterms:created>
  <dcterms:modified xsi:type="dcterms:W3CDTF">2025-06-17T11:39:00Z</dcterms:modified>
</cp:coreProperties>
</file>