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708.6614173228347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4 (supplementary data): Cognitive outcome in the relapsed medulloblastoma survivors treated with two or more courses of radiotherapy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985.0" w:type="dxa"/>
        <w:jc w:val="left"/>
        <w:tblInd w:w="-815.0" w:type="dxa"/>
        <w:tblBorders>
          <w:top w:color="ffffff" w:space="0" w:sz="4" w:val="single"/>
          <w:left w:color="ffffff" w:space="0" w:sz="4" w:val="single"/>
          <w:bottom w:color="ffffff" w:space="0" w:sz="4" w:val="single"/>
          <w:right w:color="ffffff" w:space="0" w:sz="4" w:val="single"/>
          <w:insideH w:color="ffffff" w:space="0" w:sz="4" w:val="single"/>
          <w:insideV w:color="ffffff" w:space="0" w:sz="4" w:val="single"/>
        </w:tblBorders>
        <w:tblLayout w:type="fixed"/>
        <w:tblLook w:val="04A0"/>
      </w:tblPr>
      <w:tblGrid>
        <w:gridCol w:w="1080"/>
        <w:gridCol w:w="1080"/>
        <w:gridCol w:w="1080"/>
        <w:gridCol w:w="1350"/>
        <w:gridCol w:w="1635"/>
        <w:gridCol w:w="1350"/>
        <w:gridCol w:w="795"/>
        <w:gridCol w:w="825"/>
        <w:gridCol w:w="915"/>
        <w:gridCol w:w="1260"/>
        <w:gridCol w:w="3615"/>
        <w:tblGridChange w:id="0">
          <w:tblGrid>
            <w:gridCol w:w="1080"/>
            <w:gridCol w:w="1080"/>
            <w:gridCol w:w="1080"/>
            <w:gridCol w:w="1350"/>
            <w:gridCol w:w="1635"/>
            <w:gridCol w:w="1350"/>
            <w:gridCol w:w="795"/>
            <w:gridCol w:w="825"/>
            <w:gridCol w:w="915"/>
            <w:gridCol w:w="1260"/>
            <w:gridCol w:w="3615"/>
          </w:tblGrid>
        </w:tblGridChange>
      </w:tblGrid>
      <w:tr>
        <w:tc>
          <w:tcPr>
            <w:tcBorders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ID</w:t>
            </w:r>
          </w:p>
        </w:tc>
        <w:tc>
          <w:tcPr>
            <w:tcBorders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Time from RT1 (years)</w:t>
            </w:r>
          </w:p>
        </w:tc>
        <w:tc>
          <w:tcPr>
            <w:tcBorders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Time from RT2 (years)</w:t>
            </w:r>
          </w:p>
        </w:tc>
        <w:tc>
          <w:tcPr>
            <w:tcBorders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Age at cognitive test (years)</w:t>
            </w:r>
          </w:p>
        </w:tc>
        <w:tc>
          <w:tcPr>
            <w:tcBorders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Cognitive Test Methods</w:t>
            </w:r>
          </w:p>
        </w:tc>
        <w:tc>
          <w:tcPr>
            <w:tcBorders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FSIQ</w:t>
            </w:r>
          </w:p>
        </w:tc>
        <w:tc>
          <w:tcPr>
            <w:tcBorders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PRI</w:t>
            </w:r>
          </w:p>
        </w:tc>
        <w:tc>
          <w:tcPr>
            <w:tcBorders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PSI</w:t>
            </w:r>
          </w:p>
        </w:tc>
        <w:tc>
          <w:tcPr>
            <w:tcBorders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VCI</w:t>
            </w:r>
          </w:p>
        </w:tc>
        <w:tc>
          <w:tcPr>
            <w:tcBorders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WMI</w:t>
            </w:r>
          </w:p>
        </w:tc>
        <w:tc>
          <w:tcPr>
            <w:tcBorders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Cognitive Test Result</w:t>
            </w:r>
          </w:p>
        </w:tc>
      </w:tr>
      <w:tr>
        <w:trPr>
          <w:trHeight w:val="114" w:hRule="atLeast"/>
        </w:trPr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10.13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5.14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16.6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WISC V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Mild Intellectual Disability</w:t>
            </w:r>
          </w:p>
        </w:tc>
      </w:tr>
      <w:tr>
        <w:trPr>
          <w:trHeight w:val="195" w:hRule="atLeast"/>
        </w:trPr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7.54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6.7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16.2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WISC V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Mild Intellectual Disability</w:t>
            </w:r>
          </w:p>
        </w:tc>
      </w:tr>
      <w:tr>
        <w:trPr>
          <w:trHeight w:val="240" w:hRule="atLeast"/>
        </w:trPr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12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4.33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2.99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7.1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WISC V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N/A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Borderline</w:t>
            </w:r>
          </w:p>
        </w:tc>
      </w:tr>
      <w:tr>
        <w:trPr>
          <w:trHeight w:val="114" w:hRule="atLeast"/>
        </w:trPr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12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5.46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4.11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8.1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WISC V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Mild Intellectual Disability</w:t>
            </w:r>
          </w:p>
        </w:tc>
      </w:tr>
      <w:tr>
        <w:trPr>
          <w:trHeight w:val="225" w:hRule="atLeast"/>
        </w:trPr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</w:t>
            </w:r>
          </w:p>
        </w:tc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5.18</w:t>
            </w:r>
          </w:p>
        </w:tc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2.47</w:t>
            </w:r>
          </w:p>
        </w:tc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17.11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Stanford Binet IV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N/A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N/A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Average</w:t>
            </w:r>
          </w:p>
        </w:tc>
      </w:tr>
      <w:tr>
        <w:trPr>
          <w:trHeight w:val="114" w:hRule="atLeast"/>
        </w:trPr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</w:t>
            </w:r>
          </w:p>
        </w:tc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7.06</w:t>
            </w:r>
          </w:p>
        </w:tc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4.34</w:t>
            </w:r>
          </w:p>
        </w:tc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19.11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WISC IV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4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Mild Intellectual Disability</w:t>
            </w:r>
          </w:p>
        </w:tc>
      </w:tr>
      <w:tr>
        <w:trPr>
          <w:trHeight w:val="114" w:hRule="atLeast"/>
        </w:trPr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16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1.81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N/A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10.3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WISC IV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Mild Intellectual Disability</w:t>
            </w:r>
          </w:p>
        </w:tc>
      </w:tr>
      <w:tr>
        <w:trPr>
          <w:trHeight w:val="114" w:hRule="atLeast"/>
        </w:trPr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16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5.19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0.98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13.7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5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WISC IV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Moderate Intellectual Disability</w:t>
            </w:r>
          </w:p>
        </w:tc>
      </w:tr>
      <w:tr>
        <w:trPr>
          <w:trHeight w:val="225" w:hRule="atLeast"/>
        </w:trPr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24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2.91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N/A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6.7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WISC IV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6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Moderate Intellectual Disability</w:t>
            </w:r>
          </w:p>
        </w:tc>
      </w:tr>
      <w:tr>
        <w:trPr>
          <w:trHeight w:val="240" w:hRule="atLeast"/>
        </w:trPr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24</w:t>
            </w:r>
          </w:p>
        </w:tc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4.45</w:t>
            </w:r>
          </w:p>
        </w:tc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0.49</w:t>
            </w:r>
          </w:p>
        </w:tc>
        <w:tc>
          <w:tcPr>
            <w:tcBorders>
              <w:top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WISC V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7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Moderate Intellectual Disability</w:t>
            </w:r>
          </w:p>
        </w:tc>
      </w:tr>
    </w:tbl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ind w:left="-850.3937007874016" w:right="-1213.22834645669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Abbreviations: FSIQ: Full Scale Intelligence Quotient, N/A: No otherwise specified/Not available, SB: Stanford-Binet Intelligence Scale, PRI: Perceptual Reasoning/Organization Index, PSI: Processing Speed Index, VCI: Verbal Comprehension Index, WISC-IV: Wechsler Intelligence Scale for Children IV, WISC-V: Wechsler Intelligence Scale for Children V, WMI: Working Memory Index (WMI).</w:t>
      </w:r>
    </w:p>
    <w:sectPr>
      <w:pgSz w:h="12240" w:w="15840" w:orient="landscape"/>
      <w:pgMar w:bottom="1440" w:top="708.6614173228347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160" w:line="25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C0B7D"/>
    <w:pPr>
      <w:spacing w:line="256" w:lineRule="auto"/>
    </w:p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GridTable5Dark-Accent11" w:customStyle="1">
    <w:name w:val="Grid Table 5 Dark - Accent 11"/>
    <w:basedOn w:val="TableNormal"/>
    <w:uiPriority w:val="50"/>
    <w:rsid w:val="00BC0B7D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eeaf6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5b9bd5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5b9bd5" w:themeFill="accent1" w:val="clear"/>
      </w:tcPr>
    </w:tblStylePr>
    <w:tblStylePr w:type="band1Vert">
      <w:tblPr/>
      <w:tcPr>
        <w:shd w:color="auto" w:fill="bdd6ee" w:themeFill="accent1" w:themeFillTint="000066" w:val="clear"/>
      </w:tcPr>
    </w:tblStylePr>
    <w:tblStylePr w:type="band1Horz">
      <w:tblPr/>
      <w:tcPr>
        <w:shd w:color="auto" w:fill="bdd6ee" w:themeFill="accent1" w:themeFillTint="000066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eebf6" w:val="clear"/>
    </w:tcPr>
    <w:tblStylePr w:type="band1Horz">
      <w:tcPr>
        <w:shd w:fill="bdd7ee" w:val="clear"/>
      </w:tcPr>
    </w:tblStylePr>
    <w:tblStylePr w:type="band1Vert">
      <w:tcPr>
        <w:shd w:fill="bdd7ee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5b9bd5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5b9bd5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Owsq3y7fcQjdYOUHBBmtWZbxAPw==">AMUW2mWkrOJtm6ZbcVB2ZWKYDMLCj/CDY6XrkdvWZUYv50947T+IRFr432G54hQB0Go66hE8ja8Ka2TlmfW/L9bH2TSp9/Bectk91PLrlnuZWUKnFAIU+KU=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2020-07-17T01:16:00Z</dcterms:created>
  <dc:creator>Lorena Baroni</dc:creator>
</cp:coreProperties>
</file>