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3 (supplementary data): Fisher Test analysis of the HR and SR re-irradiated medulloblastoma group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245.0" w:type="dxa"/>
        <w:jc w:val="left"/>
        <w:tblInd w:w="0.0" w:type="dxa"/>
        <w:tblBorders>
          <w:top w:color="ffffff" w:space="0" w:sz="6" w:val="single"/>
          <w:left w:color="ffffff" w:space="0" w:sz="6" w:val="single"/>
          <w:bottom w:color="ffffff" w:space="0" w:sz="6" w:val="single"/>
          <w:right w:color="ffffff" w:space="0" w:sz="6" w:val="single"/>
          <w:insideH w:color="ffffff" w:space="0" w:sz="6" w:val="single"/>
          <w:insideV w:color="ffffff" w:space="0" w:sz="6" w:val="single"/>
        </w:tblBorders>
        <w:tblLayout w:type="fixed"/>
        <w:tblLook w:val="04A0"/>
      </w:tblPr>
      <w:tblGrid>
        <w:gridCol w:w="2265"/>
        <w:gridCol w:w="3615"/>
        <w:gridCol w:w="3450"/>
        <w:gridCol w:w="3915"/>
        <w:tblGridChange w:id="0">
          <w:tblGrid>
            <w:gridCol w:w="2265"/>
            <w:gridCol w:w="3615"/>
            <w:gridCol w:w="3450"/>
            <w:gridCol w:w="3915"/>
          </w:tblGrid>
        </w:tblGridChange>
      </w:tblGrid>
      <w:tr>
        <w:trPr>
          <w:trHeight w:val="373.5546875" w:hRule="atLeast"/>
        </w:trPr>
        <w:tc>
          <w:tcPr>
            <w:tcBorders>
              <w:bottom w:color="ffffff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6" w:val="single"/>
              <w:bottom w:color="ffffff" w:space="0" w:sz="6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Alive at  3 years from initial failure</w:t>
            </w:r>
          </w:p>
        </w:tc>
        <w:tc>
          <w:tcPr>
            <w:tcBorders>
              <w:top w:color="ffffff" w:space="0" w:sz="6" w:val="single"/>
              <w:bottom w:color="ffffff" w:space="0" w:sz="6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Dead at 3 years from initial failure</w:t>
            </w:r>
          </w:p>
        </w:tc>
        <w:tc>
          <w:tcPr>
            <w:tcBorders>
              <w:top w:color="ffffff" w:space="0" w:sz="6" w:val="single"/>
              <w:bottom w:color="ffffff" w:space="0" w:sz="6" w:val="single"/>
              <w:right w:color="ffffff" w:space="0" w:sz="6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 value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(Fisher test)</w:t>
            </w:r>
          </w:p>
        </w:tc>
      </w:tr>
      <w:t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Risk at diagnosis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53.5546875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SR (n=12)</w:t>
            </w:r>
          </w:p>
        </w:tc>
        <w:tc>
          <w:tcPr>
            <w:tcBorders>
              <w:lef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0.06</w:t>
            </w:r>
          </w:p>
        </w:tc>
      </w:tr>
      <w:tr>
        <w:trPr>
          <w:trHeight w:val="253.5546875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HR (n=8)</w:t>
            </w:r>
          </w:p>
        </w:tc>
        <w:tc>
          <w:tcPr>
            <w:tcBorders>
              <w:lef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2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Surgery at relapse</w:t>
            </w:r>
          </w:p>
        </w:tc>
        <w:tc>
          <w:tcPr>
            <w:tcBorders>
              <w:lef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GTR (n=3)</w:t>
            </w:r>
          </w:p>
        </w:tc>
        <w:tc>
          <w:tcPr>
            <w:tcBorders>
              <w:lef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shd w:fill="cfe2f3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vMerge w:val="restart"/>
            <w:shd w:fill="cfe2f3" w:val="clear"/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0.52</w:t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STR/Bx/None (n=17)</w:t>
            </w:r>
          </w:p>
        </w:tc>
        <w:tc>
          <w:tcPr>
            <w:tcBorders>
              <w:lef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vMerge w:val="continue"/>
            <w:shd w:fill="cfe2f3" w:val="clear"/>
            <w:vAlign w:val="center"/>
          </w:tcPr>
          <w:p w:rsidR="00000000" w:rsidDel="00000000" w:rsidP="00000000" w:rsidRDefault="00000000" w:rsidRPr="00000000" w14:paraId="0000001E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RT2 field</w:t>
            </w:r>
          </w:p>
        </w:tc>
        <w:tc>
          <w:tcPr>
            <w:tcBorders>
              <w:lef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CSI (n=12)</w:t>
            </w:r>
          </w:p>
        </w:tc>
        <w:tc>
          <w:tcPr>
            <w:tcBorders>
              <w:lef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0.014</w:t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Local (n=8)</w:t>
            </w:r>
          </w:p>
        </w:tc>
        <w:tc>
          <w:tcPr>
            <w:tcBorders>
              <w:lef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A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IV Topotecan</w:t>
            </w:r>
          </w:p>
        </w:tc>
        <w:tc>
          <w:tcPr>
            <w:tcBorders>
              <w:lef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Yes (n=10)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shd w:fill="cfe2f3" w:val="clear"/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vMerge w:val="restart"/>
            <w:shd w:fill="cfe2f3" w:val="clear"/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No (n=10)</w:t>
            </w:r>
          </w:p>
        </w:tc>
        <w:tc>
          <w:tcPr>
            <w:tcBorders>
              <w:left w:color="ffffff" w:space="0" w:sz="6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vMerge w:val="continue"/>
            <w:shd w:fill="cfe2f3" w:val="clear"/>
            <w:vAlign w:val="center"/>
          </w:tcPr>
          <w:p w:rsidR="00000000" w:rsidDel="00000000" w:rsidP="00000000" w:rsidRDefault="00000000" w:rsidRPr="00000000" w14:paraId="00000036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Chemotherapy prior RT2</w:t>
            </w:r>
          </w:p>
        </w:tc>
        <w:tc>
          <w:tcPr>
            <w:tcBorders>
              <w:lef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Yes (n=16)</w:t>
            </w:r>
          </w:p>
        </w:tc>
        <w:tc>
          <w:tcPr>
            <w:tcBorders>
              <w:lef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shd w:fill="cfe2f3" w:val="clear"/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No (n=4)</w:t>
            </w:r>
          </w:p>
        </w:tc>
        <w:tc>
          <w:tcPr>
            <w:tcBorders>
              <w:lef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cfe2f3" w:val="clear"/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2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Anti-VEGF</w:t>
            </w:r>
          </w:p>
        </w:tc>
        <w:tc>
          <w:tcPr>
            <w:tcBorders>
              <w:left w:color="ffffff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Yes (n=11)</w:t>
            </w:r>
          </w:p>
        </w:tc>
        <w:tc>
          <w:tcPr>
            <w:tcBorders>
              <w:left w:color="ffffff" w:space="0" w:sz="6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shd w:fill="cfe2f3" w:val="clear"/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vMerge w:val="restart"/>
            <w:shd w:fill="cfe2f3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0.37</w:t>
            </w:r>
          </w:p>
        </w:tc>
      </w:tr>
      <w:tr>
        <w:trPr>
          <w:trHeight w:val="220" w:hRule="atLeast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c9daf8" w:val="clear"/>
          </w:tcPr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No (n=9)</w:t>
            </w:r>
          </w:p>
        </w:tc>
        <w:tc>
          <w:tcPr>
            <w:tcBorders>
              <w:left w:color="ffffff" w:space="0" w:sz="6" w:val="single"/>
            </w:tcBorders>
            <w:shd w:fill="c9daf8" w:val="clear"/>
          </w:tcPr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Merge w:val="continue"/>
            <w:shd w:fill="cfe2f3" w:val="clear"/>
            <w:vAlign w:val="center"/>
          </w:tcPr>
          <w:p w:rsidR="00000000" w:rsidDel="00000000" w:rsidP="00000000" w:rsidRDefault="00000000" w:rsidRPr="00000000" w14:paraId="0000004E">
            <w:pPr>
              <w:spacing w:after="0" w:before="0" w:line="240" w:lineRule="auto"/>
              <w:ind w:lef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Abbreviation:  Anti VEGF: </w:t>
      </w:r>
      <w:r w:rsidDel="00000000" w:rsidR="00000000" w:rsidRPr="00000000">
        <w:rPr>
          <w:rFonts w:ascii="Times New Roman" w:cs="Times New Roman" w:eastAsia="Times New Roman" w:hAnsi="Times New Roman"/>
          <w:color w:val="111111"/>
          <w:highlight w:val="white"/>
          <w:rtl w:val="0"/>
        </w:rPr>
        <w:t xml:space="preserve">Anti–vascular endothelial growth factor therapy,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Bx: biopsy, CSI: craniospinal irradiation, GTR: gross total resection, IV: intraventricular, RT2: second course of radiotherapy, ST: standar risk, HR: high risk, STR: subtotal resection.</w:t>
      </w:r>
    </w:p>
    <w:p w:rsidR="00000000" w:rsidDel="00000000" w:rsidP="00000000" w:rsidRDefault="00000000" w:rsidRPr="00000000" w14:paraId="0000005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-141.73228346456688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11382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935C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cs="Courier New" w:eastAsia="Times New Roman" w:hAnsi="Courier New"/>
      <w:sz w:val="20"/>
      <w:szCs w:val="20"/>
      <w:lang w:eastAsia="en-CA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935C2F"/>
    <w:rPr>
      <w:rFonts w:ascii="Courier New" w:cs="Courier New" w:eastAsia="Times New Roman" w:hAnsi="Courier New"/>
      <w:sz w:val="20"/>
      <w:szCs w:val="20"/>
      <w:lang w:eastAsia="en-CA"/>
    </w:rPr>
  </w:style>
  <w:style w:type="table" w:styleId="PlainTable1">
    <w:name w:val="Plain Table 1"/>
    <w:basedOn w:val="TableNormal"/>
    <w:uiPriority w:val="41"/>
    <w:rsid w:val="008F7099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GridTable5Dark-Accent1">
    <w:name w:val="Grid Table 5 Dark Accent 1"/>
    <w:basedOn w:val="TableNormal"/>
    <w:uiPriority w:val="50"/>
    <w:rsid w:val="008F7099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eeaf6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5b9bd5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5b9bd5" w:themeFill="accent1" w:val="clear"/>
      </w:tcPr>
    </w:tblStylePr>
    <w:tblStylePr w:type="band1Vert">
      <w:tblPr/>
      <w:tcPr>
        <w:shd w:color="auto" w:fill="bdd6ee" w:themeFill="accent1" w:themeFillTint="000066" w:val="clear"/>
      </w:tcPr>
    </w:tblStylePr>
    <w:tblStylePr w:type="band1Horz">
      <w:tblPr/>
      <w:tcPr>
        <w:shd w:color="auto" w:fill="bdd6ee" w:themeFill="accent1" w:themeFillTint="000066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band2Horz">
      <w:tcPr/>
    </w:tblStylePr>
    <w:tblStylePr w:type="band2Vert">
      <w:tcPr/>
    </w:tblStylePr>
    <w:tblStylePr w:type="firstCol">
      <w:rPr>
        <w:b w:val="1"/>
        <w:color w:val="ffffff"/>
      </w:rPr>
      <w:tcPr>
        <w:shd w:fill="5b9bd5" w:val="clear"/>
      </w:tcPr>
    </w:tblStylePr>
    <w:tblStylePr w:type="firstRow">
      <w:rPr>
        <w:b w:val="1"/>
        <w:color w:val="ffffff"/>
      </w:rPr>
      <w:tcPr>
        <w:shd w:fill="5b9bd5" w:val="clear"/>
      </w:tcPr>
    </w:tblStylePr>
    <w:tblStylePr w:type="lastCol">
      <w:rPr>
        <w:b w:val="1"/>
        <w:color w:val="ffffff"/>
      </w:rPr>
      <w:tcPr>
        <w:shd w:fill="5b9bd5" w:val="clear"/>
      </w:tcPr>
    </w:tblStylePr>
    <w:tblStylePr w:type="lastRow">
      <w:rPr>
        <w:b w:val="1"/>
        <w:color w:val="ffffff"/>
      </w:rPr>
      <w:tcPr>
        <w:shd w:fill="5b9bd5" w:val="clear"/>
      </w:tcPr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tUU0Wgtq2cJLa8WKN0owePe2Uw==">AMUW2mWBrRTqXOPW+Z26TMhlGE2kAU6+gjOS43MR8Uocz4HcLa4ab4q5eUZqjXAi680xIiBf5odRBrttSo4pN+sAWJWW9xXETWr7UkkIVFndNtqtIklRdoY=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2020-07-15T02:51:00Z</dcterms:created>
  <dc:creator>Lorena Baroni</dc:creator>
</cp:coreProperties>
</file>