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B68D6" w14:textId="77777777" w:rsidR="00273743" w:rsidRDefault="00273743" w:rsidP="00273743">
      <w:pPr>
        <w:jc w:val="both"/>
        <w:rPr>
          <w:rFonts w:ascii="Times New Roman" w:hAnsi="Times New Roman" w:cs="Times New Roman"/>
          <w:b/>
          <w:bCs/>
        </w:rPr>
      </w:pPr>
      <w:r w:rsidRPr="0013015C">
        <w:rPr>
          <w:rFonts w:ascii="Times New Roman" w:hAnsi="Times New Roman" w:cs="Times New Roman"/>
          <w:b/>
          <w:bCs/>
        </w:rPr>
        <w:t>Appendix A. List of Participating Organizations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93"/>
      </w:tblGrid>
      <w:tr w:rsidR="00273743" w:rsidRPr="008649D4" w14:paraId="4A518601" w14:textId="77777777" w:rsidTr="00DE7C5D">
        <w:trPr>
          <w:trHeight w:val="27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21CA10" w14:textId="77777777" w:rsidR="00273743" w:rsidRPr="008649D4" w:rsidRDefault="00273743" w:rsidP="00DE7C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Organization</w:t>
            </w:r>
          </w:p>
        </w:tc>
      </w:tr>
      <w:tr w:rsidR="00273743" w:rsidRPr="008649D4" w14:paraId="5F5F2257" w14:textId="77777777" w:rsidTr="00DE7C5D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8EA510" w14:textId="77777777" w:rsidR="00273743" w:rsidRPr="008649D4" w:rsidRDefault="00273743" w:rsidP="00DE7C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sz w:val="20"/>
                <w:szCs w:val="20"/>
              </w:rPr>
              <w:t>Public Health Institute of Malawi (PHIM)</w:t>
            </w:r>
          </w:p>
        </w:tc>
      </w:tr>
      <w:tr w:rsidR="00273743" w:rsidRPr="008649D4" w14:paraId="478D09E1" w14:textId="77777777" w:rsidTr="00DE7C5D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B5410A" w14:textId="77777777" w:rsidR="00273743" w:rsidRPr="008649D4" w:rsidRDefault="00273743" w:rsidP="00DE7C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sz w:val="20"/>
                <w:szCs w:val="20"/>
              </w:rPr>
              <w:t>Department of Animal Health and Livestock Development (DAHLD)</w:t>
            </w:r>
          </w:p>
        </w:tc>
      </w:tr>
      <w:tr w:rsidR="00273743" w:rsidRPr="008649D4" w14:paraId="67FD888F" w14:textId="77777777" w:rsidTr="00DE7C5D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C0D023" w14:textId="77777777" w:rsidR="00273743" w:rsidRPr="008649D4" w:rsidRDefault="00273743" w:rsidP="00DE7C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sz w:val="20"/>
                <w:szCs w:val="20"/>
              </w:rPr>
              <w:t>Department of Environmental Affairs Department (EAD)</w:t>
            </w:r>
          </w:p>
        </w:tc>
      </w:tr>
      <w:tr w:rsidR="00273743" w:rsidRPr="008649D4" w14:paraId="59EE1B0D" w14:textId="77777777" w:rsidTr="00DE7C5D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6CB87C" w14:textId="77777777" w:rsidR="00273743" w:rsidRPr="008649D4" w:rsidRDefault="00273743" w:rsidP="00DE7C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sz w:val="20"/>
                <w:szCs w:val="20"/>
              </w:rPr>
              <w:t>Department of National Parks and Wildlife (DNPW)</w:t>
            </w:r>
          </w:p>
        </w:tc>
      </w:tr>
      <w:tr w:rsidR="00273743" w:rsidRPr="008649D4" w14:paraId="2FB4D211" w14:textId="77777777" w:rsidTr="00DE7C5D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90AFCB" w14:textId="77777777" w:rsidR="00273743" w:rsidRPr="008649D4" w:rsidRDefault="00273743" w:rsidP="00DE7C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sz w:val="20"/>
                <w:szCs w:val="20"/>
              </w:rPr>
              <w:t>Ministry of Water and Sanitation</w:t>
            </w:r>
          </w:p>
        </w:tc>
      </w:tr>
      <w:tr w:rsidR="00273743" w:rsidRPr="008649D4" w14:paraId="5AB55C29" w14:textId="77777777" w:rsidTr="00DE7C5D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EBAF6A" w14:textId="77777777" w:rsidR="00273743" w:rsidRPr="008649D4" w:rsidRDefault="00273743" w:rsidP="00DE7C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sz w:val="20"/>
                <w:szCs w:val="20"/>
              </w:rPr>
              <w:t>Department of Forestry</w:t>
            </w:r>
          </w:p>
        </w:tc>
      </w:tr>
      <w:tr w:rsidR="00273743" w:rsidRPr="008649D4" w14:paraId="03344A0F" w14:textId="77777777" w:rsidTr="00DE7C5D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9D64E3" w14:textId="77777777" w:rsidR="00273743" w:rsidRPr="008649D4" w:rsidRDefault="00273743" w:rsidP="00DE7C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sz w:val="20"/>
                <w:szCs w:val="20"/>
              </w:rPr>
              <w:t>Lilongwe University of Agriculture and Natural Resources (LUANAR)</w:t>
            </w:r>
          </w:p>
        </w:tc>
      </w:tr>
      <w:tr w:rsidR="00273743" w:rsidRPr="008649D4" w14:paraId="7E56C175" w14:textId="77777777" w:rsidTr="00DE7C5D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09E304" w14:textId="77777777" w:rsidR="00273743" w:rsidRPr="008649D4" w:rsidRDefault="00273743" w:rsidP="00DE7C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sz w:val="20"/>
                <w:szCs w:val="20"/>
              </w:rPr>
              <w:t>Lilongwe Wildlife Trust</w:t>
            </w:r>
          </w:p>
        </w:tc>
      </w:tr>
      <w:tr w:rsidR="00273743" w:rsidRPr="008649D4" w14:paraId="378B8EC9" w14:textId="77777777" w:rsidTr="00DE7C5D">
        <w:trPr>
          <w:trHeight w:val="21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488E64" w14:textId="77777777" w:rsidR="00273743" w:rsidRPr="008649D4" w:rsidRDefault="00273743" w:rsidP="00DE7C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sz w:val="20"/>
                <w:szCs w:val="20"/>
              </w:rPr>
              <w:t>African Parks</w:t>
            </w:r>
          </w:p>
        </w:tc>
      </w:tr>
      <w:tr w:rsidR="00273743" w:rsidRPr="008649D4" w14:paraId="6F50531F" w14:textId="77777777" w:rsidTr="00DE7C5D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F1838A" w14:textId="77777777" w:rsidR="00273743" w:rsidRPr="008649D4" w:rsidRDefault="00273743" w:rsidP="00DE7C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sz w:val="20"/>
                <w:szCs w:val="20"/>
              </w:rPr>
              <w:t>Kamuzu University of Health Sciences (KUHES)</w:t>
            </w:r>
          </w:p>
        </w:tc>
      </w:tr>
      <w:tr w:rsidR="00273743" w:rsidRPr="008649D4" w14:paraId="2AD4773A" w14:textId="77777777" w:rsidTr="00DE7C5D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91AE31" w14:textId="77777777" w:rsidR="00273743" w:rsidRPr="008649D4" w:rsidRDefault="00273743" w:rsidP="00DE7C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sz w:val="20"/>
                <w:szCs w:val="20"/>
              </w:rPr>
              <w:t>Malawi University of Science and Technology (MUST)</w:t>
            </w:r>
          </w:p>
        </w:tc>
      </w:tr>
      <w:tr w:rsidR="00273743" w:rsidRPr="008649D4" w14:paraId="67B2E9C4" w14:textId="77777777" w:rsidTr="00DE7C5D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EEB56D" w14:textId="77777777" w:rsidR="00273743" w:rsidRPr="008649D4" w:rsidRDefault="00273743" w:rsidP="00DE7C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sz w:val="20"/>
                <w:szCs w:val="20"/>
              </w:rPr>
              <w:t>Trustees of Agricultural Promotion Programme</w:t>
            </w:r>
          </w:p>
        </w:tc>
      </w:tr>
      <w:tr w:rsidR="00273743" w:rsidRPr="008649D4" w14:paraId="19EB348C" w14:textId="77777777" w:rsidTr="00DE7C5D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BEF5DE" w14:textId="77777777" w:rsidR="00273743" w:rsidRPr="008649D4" w:rsidRDefault="00273743" w:rsidP="00DE7C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sz w:val="20"/>
                <w:szCs w:val="20"/>
              </w:rPr>
              <w:t>Africa Centres for Disease Control and Prevention (Africa CDC)</w:t>
            </w:r>
          </w:p>
        </w:tc>
      </w:tr>
      <w:tr w:rsidR="00273743" w:rsidRPr="008649D4" w14:paraId="403CCA4C" w14:textId="77777777" w:rsidTr="00DE7C5D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4B8BBD" w14:textId="77777777" w:rsidR="00273743" w:rsidRPr="008649D4" w:rsidRDefault="00273743" w:rsidP="00DE7C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sz w:val="20"/>
                <w:szCs w:val="20"/>
              </w:rPr>
              <w:t>Food and Agriculture Organization (FAO) Regional and Malawi Offices</w:t>
            </w:r>
          </w:p>
        </w:tc>
      </w:tr>
      <w:tr w:rsidR="00273743" w:rsidRPr="008649D4" w14:paraId="0FA6752E" w14:textId="77777777" w:rsidTr="00DE7C5D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298A2A" w14:textId="77777777" w:rsidR="00273743" w:rsidRPr="008649D4" w:rsidRDefault="00273743" w:rsidP="00DE7C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sz w:val="20"/>
                <w:szCs w:val="20"/>
              </w:rPr>
              <w:t>World Health Organization (WHO) Malawi Offices</w:t>
            </w:r>
          </w:p>
        </w:tc>
      </w:tr>
      <w:tr w:rsidR="00273743" w:rsidRPr="008649D4" w14:paraId="55B4F700" w14:textId="77777777" w:rsidTr="00DE7C5D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EA2C5D" w14:textId="77777777" w:rsidR="00273743" w:rsidRPr="008649D4" w:rsidRDefault="00273743" w:rsidP="00DE7C5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9D4">
              <w:rPr>
                <w:rFonts w:ascii="Times New Roman" w:hAnsi="Times New Roman" w:cs="Times New Roman"/>
                <w:sz w:val="20"/>
                <w:szCs w:val="20"/>
              </w:rPr>
              <w:t>U.S. Centers for Disease Control and Prevention (US CDC)</w:t>
            </w:r>
          </w:p>
        </w:tc>
      </w:tr>
    </w:tbl>
    <w:p w14:paraId="1A74A7B9" w14:textId="77777777" w:rsidR="00273743" w:rsidRPr="0013015C" w:rsidRDefault="00273743" w:rsidP="00273743">
      <w:pPr>
        <w:jc w:val="both"/>
        <w:rPr>
          <w:rFonts w:ascii="Times New Roman" w:hAnsi="Times New Roman" w:cs="Times New Roman"/>
        </w:rPr>
      </w:pPr>
    </w:p>
    <w:p w14:paraId="08532D31" w14:textId="77777777" w:rsidR="00273743" w:rsidRDefault="00273743" w:rsidP="00273743">
      <w:pPr>
        <w:jc w:val="both"/>
        <w:rPr>
          <w:rFonts w:ascii="Times New Roman" w:hAnsi="Times New Roman" w:cs="Times New Roman"/>
        </w:rPr>
      </w:pPr>
      <w:r w:rsidRPr="00B94D63">
        <w:rPr>
          <w:rFonts w:ascii="Times New Roman" w:hAnsi="Times New Roman" w:cs="Times New Roman"/>
          <w:b/>
          <w:bCs/>
        </w:rPr>
        <w:t xml:space="preserve">Appendix </w:t>
      </w:r>
      <w:r>
        <w:rPr>
          <w:rFonts w:ascii="Times New Roman" w:hAnsi="Times New Roman" w:cs="Times New Roman"/>
          <w:b/>
          <w:bCs/>
        </w:rPr>
        <w:t>B</w:t>
      </w:r>
      <w:r w:rsidRPr="00B94D63">
        <w:rPr>
          <w:rFonts w:ascii="Times New Roman" w:hAnsi="Times New Roman" w:cs="Times New Roman"/>
        </w:rPr>
        <w:t>.</w:t>
      </w:r>
      <w:r w:rsidRPr="00B94D63">
        <w:rPr>
          <w:rFonts w:ascii="Times New Roman" w:hAnsi="Times New Roman" w:cs="Times New Roman"/>
          <w:b/>
          <w:bCs/>
          <w:i/>
          <w:iCs/>
        </w:rPr>
        <w:t xml:space="preserve"> Priority zoonotic diseases selected in Malawi during the One Health Zoonotic Disease Prioritization workshop</w:t>
      </w:r>
    </w:p>
    <w:tbl>
      <w:tblPr>
        <w:tblStyle w:val="TableGrid"/>
        <w:tblW w:w="10201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1417"/>
        <w:gridCol w:w="2693"/>
        <w:gridCol w:w="2268"/>
        <w:gridCol w:w="2268"/>
      </w:tblGrid>
      <w:tr w:rsidR="00273743" w:rsidRPr="00661B05" w14:paraId="2BA35EB5" w14:textId="77777777" w:rsidTr="00DE7C5D">
        <w:trPr>
          <w:jc w:val="center"/>
        </w:trPr>
        <w:tc>
          <w:tcPr>
            <w:tcW w:w="1555" w:type="dxa"/>
          </w:tcPr>
          <w:p w14:paraId="79F96120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Disease</w:t>
            </w:r>
          </w:p>
        </w:tc>
        <w:tc>
          <w:tcPr>
            <w:tcW w:w="1417" w:type="dxa"/>
          </w:tcPr>
          <w:p w14:paraId="6F100EE5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Causative Agent</w:t>
            </w:r>
          </w:p>
        </w:tc>
        <w:tc>
          <w:tcPr>
            <w:tcW w:w="2693" w:type="dxa"/>
          </w:tcPr>
          <w:p w14:paraId="56185436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Human Burden &amp; Cases</w:t>
            </w:r>
          </w:p>
        </w:tc>
        <w:tc>
          <w:tcPr>
            <w:tcW w:w="2268" w:type="dxa"/>
          </w:tcPr>
          <w:p w14:paraId="7E63808B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Animal Burden / Reservoirs</w:t>
            </w:r>
          </w:p>
        </w:tc>
        <w:tc>
          <w:tcPr>
            <w:tcW w:w="2268" w:type="dxa"/>
          </w:tcPr>
          <w:p w14:paraId="4A474809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Diagnostics, Treatment &amp; Prevention</w:t>
            </w:r>
          </w:p>
        </w:tc>
      </w:tr>
      <w:tr w:rsidR="00273743" w:rsidRPr="00661B05" w14:paraId="6DE39475" w14:textId="77777777" w:rsidTr="00DE7C5D">
        <w:trPr>
          <w:jc w:val="center"/>
        </w:trPr>
        <w:tc>
          <w:tcPr>
            <w:tcW w:w="1555" w:type="dxa"/>
          </w:tcPr>
          <w:p w14:paraId="35750CA3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Rabies</w:t>
            </w:r>
          </w:p>
        </w:tc>
        <w:tc>
          <w:tcPr>
            <w:tcW w:w="1417" w:type="dxa"/>
          </w:tcPr>
          <w:p w14:paraId="66729C9C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Rabies virus</w:t>
            </w:r>
          </w:p>
        </w:tc>
        <w:tc>
          <w:tcPr>
            <w:tcW w:w="2693" w:type="dxa"/>
          </w:tcPr>
          <w:p w14:paraId="55EEECE1" w14:textId="77777777" w:rsidR="00273743" w:rsidRPr="00661B05" w:rsidRDefault="00273743" w:rsidP="00273743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sz w:val="20"/>
                <w:szCs w:val="20"/>
              </w:rPr>
              <w:t>Approximately 484 exposure cases recorded in 2024</w:t>
            </w:r>
          </w:p>
          <w:p w14:paraId="4A025645" w14:textId="77777777" w:rsidR="00273743" w:rsidRPr="00661B05" w:rsidRDefault="00273743" w:rsidP="00273743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sz w:val="20"/>
                <w:szCs w:val="20"/>
              </w:rPr>
              <w:t>Estimated 3 deaths per 100,000 people annually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[17]</w:t>
            </w:r>
          </w:p>
          <w:p w14:paraId="56B4696F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23DB564" w14:textId="77777777" w:rsidR="00273743" w:rsidRPr="00661B05" w:rsidRDefault="00273743" w:rsidP="00273743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sz w:val="20"/>
                <w:szCs w:val="20"/>
              </w:rPr>
              <w:t>Endemic in Malawi</w:t>
            </w:r>
          </w:p>
          <w:p w14:paraId="7464B702" w14:textId="77777777" w:rsidR="00273743" w:rsidRPr="00661B05" w:rsidRDefault="00273743" w:rsidP="00273743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sz w:val="20"/>
                <w:szCs w:val="20"/>
              </w:rPr>
              <w:t>683 confirmed animal cases (2008–2021), mostly in dogs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[18]</w:t>
            </w:r>
          </w:p>
          <w:p w14:paraId="56CDC754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F64C83E" w14:textId="77777777" w:rsidR="00273743" w:rsidRPr="00661B05" w:rsidRDefault="00273743" w:rsidP="00273743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sz w:val="20"/>
                <w:szCs w:val="20"/>
              </w:rPr>
              <w:t>Vaccines available for both humans and animals</w:t>
            </w:r>
          </w:p>
          <w:p w14:paraId="4862CD7C" w14:textId="77777777" w:rsidR="00273743" w:rsidRPr="00661B05" w:rsidRDefault="00273743" w:rsidP="00273743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sz w:val="20"/>
                <w:szCs w:val="20"/>
              </w:rPr>
              <w:t>Post-exposure prophylaxis (PEP) accessible for humans</w:t>
            </w:r>
          </w:p>
          <w:p w14:paraId="1171FB85" w14:textId="77777777" w:rsidR="00273743" w:rsidRPr="00661B05" w:rsidRDefault="00273743" w:rsidP="00273743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sz w:val="20"/>
                <w:szCs w:val="20"/>
              </w:rPr>
              <w:t>Dog vaccination coverage is low (~0.5%)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[18]</w:t>
            </w:r>
          </w:p>
          <w:p w14:paraId="5CCADF40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3743" w:rsidRPr="00661B05" w14:paraId="7F0A01CC" w14:textId="77777777" w:rsidTr="00DE7C5D">
        <w:trPr>
          <w:jc w:val="center"/>
        </w:trPr>
        <w:tc>
          <w:tcPr>
            <w:tcW w:w="1555" w:type="dxa"/>
          </w:tcPr>
          <w:p w14:paraId="4EC33028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Salmonellosis</w:t>
            </w:r>
            <w:r w:rsidRPr="00661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661B0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S. Enteritidis</w:t>
            </w:r>
            <w:r w:rsidRPr="00661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14:paraId="311B5EDA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Salmonella enteritidis</w:t>
            </w:r>
          </w:p>
        </w:tc>
        <w:tc>
          <w:tcPr>
            <w:tcW w:w="2693" w:type="dxa"/>
          </w:tcPr>
          <w:p w14:paraId="02128F64" w14:textId="77777777" w:rsidR="00273743" w:rsidRDefault="00273743" w:rsidP="00273743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sz w:val="20"/>
                <w:szCs w:val="20"/>
              </w:rPr>
              <w:t xml:space="preserve">Invasive non-typhoidal Salmonella is a major </w:t>
            </w:r>
            <w:r w:rsidRPr="00661B0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cause of bloodstream infections in </w:t>
            </w:r>
            <w:r w:rsidRPr="004C339B">
              <w:rPr>
                <w:rFonts w:ascii="Times New Roman" w:hAnsi="Times New Roman" w:cs="Times New Roman"/>
                <w:sz w:val="20"/>
                <w:szCs w:val="20"/>
              </w:rPr>
              <w:t>Blantyre [19]</w:t>
            </w:r>
          </w:p>
          <w:p w14:paraId="1D1399AA" w14:textId="77777777" w:rsidR="00273743" w:rsidRPr="00661B05" w:rsidRDefault="00273743" w:rsidP="00DE7C5D">
            <w:pPr>
              <w:pStyle w:val="ListParagraph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3FADA4A" w14:textId="77777777" w:rsidR="00273743" w:rsidRPr="00B7390D" w:rsidRDefault="00273743" w:rsidP="00273743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Not yet quantified</w:t>
            </w:r>
          </w:p>
          <w:p w14:paraId="199516F6" w14:textId="77777777" w:rsidR="00273743" w:rsidRPr="00B7390D" w:rsidRDefault="00273743" w:rsidP="00DE7C5D">
            <w:pPr>
              <w:pStyle w:val="ListParagraph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79E9930" w14:textId="77777777" w:rsidR="00273743" w:rsidRPr="00B7390D" w:rsidRDefault="00273743" w:rsidP="00273743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7390D">
              <w:rPr>
                <w:rFonts w:ascii="Times New Roman" w:hAnsi="Times New Roman" w:cs="Times New Roman"/>
                <w:sz w:val="20"/>
                <w:szCs w:val="20"/>
              </w:rPr>
              <w:t>Antibiotic treatment available</w:t>
            </w:r>
          </w:p>
          <w:p w14:paraId="6A67744B" w14:textId="77777777" w:rsidR="00273743" w:rsidRPr="00B7390D" w:rsidRDefault="00273743" w:rsidP="00273743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B7390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Multidrug resistance (MDR) has been observed in isolates</w:t>
            </w:r>
          </w:p>
          <w:p w14:paraId="1DE54162" w14:textId="77777777" w:rsidR="00273743" w:rsidRPr="00B7390D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3743" w:rsidRPr="00661B05" w14:paraId="65192673" w14:textId="77777777" w:rsidTr="00DE7C5D">
        <w:trPr>
          <w:trHeight w:val="1311"/>
          <w:jc w:val="center"/>
        </w:trPr>
        <w:tc>
          <w:tcPr>
            <w:tcW w:w="1555" w:type="dxa"/>
          </w:tcPr>
          <w:p w14:paraId="3DF3EDF7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Zoonotic Tuberculosis</w:t>
            </w:r>
            <w:r w:rsidRPr="00661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661B0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M. bovis</w:t>
            </w:r>
            <w:r w:rsidRPr="00661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14:paraId="51FCE423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Mycobacterium bovis</w:t>
            </w:r>
          </w:p>
        </w:tc>
        <w:tc>
          <w:tcPr>
            <w:tcW w:w="2693" w:type="dxa"/>
          </w:tcPr>
          <w:p w14:paraId="6DC8F086" w14:textId="77777777" w:rsidR="00273743" w:rsidRPr="003F466A" w:rsidRDefault="00273743" w:rsidP="00273743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3F466A">
              <w:rPr>
                <w:rFonts w:ascii="Times New Roman" w:hAnsi="Times New Roman" w:cs="Times New Roman"/>
                <w:sz w:val="20"/>
                <w:szCs w:val="20"/>
              </w:rPr>
              <w:t>Estimated 1.56% of human TB cases due to zoonotic TB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[20]</w:t>
            </w:r>
          </w:p>
        </w:tc>
        <w:tc>
          <w:tcPr>
            <w:tcW w:w="2268" w:type="dxa"/>
          </w:tcPr>
          <w:p w14:paraId="50C02E67" w14:textId="77777777" w:rsidR="00273743" w:rsidRDefault="00273743" w:rsidP="00273743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472C59">
              <w:rPr>
                <w:rFonts w:ascii="Times New Roman" w:hAnsi="Times New Roman" w:cs="Times New Roman"/>
                <w:sz w:val="20"/>
                <w:szCs w:val="20"/>
              </w:rPr>
              <w:t>~10% prevalence in cattle</w:t>
            </w:r>
          </w:p>
          <w:p w14:paraId="77C10AA5" w14:textId="77777777" w:rsidR="00273743" w:rsidRPr="00472C59" w:rsidRDefault="00273743" w:rsidP="00273743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472C59">
              <w:rPr>
                <w:rFonts w:ascii="Times New Roman" w:hAnsi="Times New Roman" w:cs="Times New Roman"/>
                <w:sz w:val="20"/>
                <w:szCs w:val="20"/>
              </w:rPr>
              <w:t>9.95% had lesions at slaughter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[21]</w:t>
            </w:r>
          </w:p>
        </w:tc>
        <w:tc>
          <w:tcPr>
            <w:tcW w:w="2268" w:type="dxa"/>
          </w:tcPr>
          <w:p w14:paraId="43C244FE" w14:textId="77777777" w:rsidR="00273743" w:rsidRDefault="00273743" w:rsidP="00273743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eastAsia="en-ZA"/>
                <w14:ligatures w14:val="none"/>
              </w:rPr>
            </w:pPr>
            <w:r w:rsidRPr="00AD21D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  <w:t>Treatment available for humans</w:t>
            </w:r>
          </w:p>
          <w:p w14:paraId="0EDD913A" w14:textId="77777777" w:rsidR="00273743" w:rsidRPr="00AD21DD" w:rsidRDefault="00273743" w:rsidP="00273743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eastAsia="en-ZA"/>
                <w14:ligatures w14:val="none"/>
              </w:rPr>
            </w:pPr>
            <w:r w:rsidRPr="00AD21D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  <w:t>No treatment routinely available for cattle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ZA"/>
                <w14:ligatures w14:val="none"/>
              </w:rPr>
              <w:t xml:space="preserve"> [20]</w:t>
            </w:r>
          </w:p>
        </w:tc>
      </w:tr>
      <w:tr w:rsidR="00273743" w:rsidRPr="00661B05" w14:paraId="44875F11" w14:textId="77777777" w:rsidTr="00DE7C5D">
        <w:trPr>
          <w:jc w:val="center"/>
        </w:trPr>
        <w:tc>
          <w:tcPr>
            <w:tcW w:w="1555" w:type="dxa"/>
          </w:tcPr>
          <w:p w14:paraId="10E4F574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Anthrax</w:t>
            </w:r>
            <w:r w:rsidRPr="00661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661B0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B. anthracis</w:t>
            </w:r>
            <w:r w:rsidRPr="00661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14:paraId="3AA9174B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Bacillus anthracis</w:t>
            </w:r>
          </w:p>
        </w:tc>
        <w:tc>
          <w:tcPr>
            <w:tcW w:w="2693" w:type="dxa"/>
          </w:tcPr>
          <w:p w14:paraId="03EF5BE9" w14:textId="77777777" w:rsidR="00273743" w:rsidRPr="008351C9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351C9">
              <w:rPr>
                <w:rFonts w:ascii="Times New Roman" w:hAnsi="Times New Roman" w:cs="Times New Roman"/>
                <w:sz w:val="20"/>
                <w:szCs w:val="20"/>
              </w:rPr>
              <w:t>No confirmed human cases recently reported</w:t>
            </w:r>
          </w:p>
        </w:tc>
        <w:tc>
          <w:tcPr>
            <w:tcW w:w="2268" w:type="dxa"/>
          </w:tcPr>
          <w:p w14:paraId="10A5ADF3" w14:textId="77777777" w:rsidR="00273743" w:rsidRPr="005614E1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614E1">
              <w:rPr>
                <w:rFonts w:ascii="Times New Roman" w:hAnsi="Times New Roman" w:cs="Times New Roman"/>
                <w:sz w:val="20"/>
                <w:szCs w:val="20"/>
              </w:rPr>
              <w:t>48 hippopotamus deaths reported in Liwonde National Park (2018–2019)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[22]</w:t>
            </w:r>
          </w:p>
        </w:tc>
        <w:tc>
          <w:tcPr>
            <w:tcW w:w="2268" w:type="dxa"/>
          </w:tcPr>
          <w:p w14:paraId="3F0EEE83" w14:textId="77777777" w:rsidR="00273743" w:rsidRPr="00EB3F6E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B3F6E">
              <w:rPr>
                <w:rFonts w:ascii="Times New Roman" w:hAnsi="Times New Roman" w:cs="Times New Roman"/>
                <w:sz w:val="20"/>
                <w:szCs w:val="20"/>
              </w:rPr>
              <w:t>Antibiotics for livestock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available</w:t>
            </w:r>
          </w:p>
          <w:p w14:paraId="3AE0EA03" w14:textId="77777777" w:rsidR="00273743" w:rsidRPr="00EB3F6E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B3F6E">
              <w:rPr>
                <w:rFonts w:ascii="Times New Roman" w:hAnsi="Times New Roman" w:cs="Times New Roman"/>
                <w:sz w:val="20"/>
                <w:szCs w:val="20"/>
              </w:rPr>
              <w:t>Wildlife monitoring in hotspot areas</w:t>
            </w:r>
          </w:p>
          <w:p w14:paraId="617E476F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3743" w:rsidRPr="00661B05" w14:paraId="0F877453" w14:textId="77777777" w:rsidTr="00DE7C5D">
        <w:trPr>
          <w:jc w:val="center"/>
        </w:trPr>
        <w:tc>
          <w:tcPr>
            <w:tcW w:w="1555" w:type="dxa"/>
          </w:tcPr>
          <w:p w14:paraId="1856DEAD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Viral Haemorrhagic Fevers</w:t>
            </w:r>
          </w:p>
        </w:tc>
        <w:tc>
          <w:tcPr>
            <w:tcW w:w="1417" w:type="dxa"/>
          </w:tcPr>
          <w:p w14:paraId="57A961F9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Ebola, Yellow fever, Rift Valley fever, CCHF</w:t>
            </w:r>
          </w:p>
        </w:tc>
        <w:tc>
          <w:tcPr>
            <w:tcW w:w="2693" w:type="dxa"/>
          </w:tcPr>
          <w:p w14:paraId="1820601B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confirmed human cases in Malawi</w:t>
            </w:r>
          </w:p>
        </w:tc>
        <w:tc>
          <w:tcPr>
            <w:tcW w:w="2268" w:type="dxa"/>
          </w:tcPr>
          <w:p w14:paraId="2D13ACB3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confirmed animal cases</w:t>
            </w:r>
          </w:p>
        </w:tc>
        <w:tc>
          <w:tcPr>
            <w:tcW w:w="2268" w:type="dxa"/>
          </w:tcPr>
          <w:p w14:paraId="66D50E0A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Vaccines for YF</w:t>
            </w:r>
          </w:p>
          <w:p w14:paraId="16888C9F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Ebola vaccines in trials</w:t>
            </w:r>
          </w:p>
        </w:tc>
      </w:tr>
      <w:tr w:rsidR="00273743" w:rsidRPr="00661B05" w14:paraId="5A390301" w14:textId="77777777" w:rsidTr="00DE7C5D">
        <w:trPr>
          <w:jc w:val="center"/>
        </w:trPr>
        <w:tc>
          <w:tcPr>
            <w:tcW w:w="1555" w:type="dxa"/>
          </w:tcPr>
          <w:p w14:paraId="5A864F58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Schistosomiasis</w:t>
            </w:r>
            <w:r w:rsidRPr="00661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661B0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S. haematobium</w:t>
            </w:r>
            <w:r w:rsidRPr="00661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14:paraId="6D9ECFD6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Schistosoma haematobium</w:t>
            </w:r>
          </w:p>
        </w:tc>
        <w:tc>
          <w:tcPr>
            <w:tcW w:w="2693" w:type="dxa"/>
          </w:tcPr>
          <w:p w14:paraId="00984207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sz w:val="20"/>
                <w:szCs w:val="20"/>
              </w:rPr>
              <w:t>Estimated national prevalence of 40–50%</w:t>
            </w:r>
          </w:p>
          <w:p w14:paraId="6C29AEA1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sz w:val="20"/>
                <w:szCs w:val="20"/>
              </w:rPr>
              <w:t>Hotspot communities report up to 95% prevalence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[23]</w:t>
            </w:r>
          </w:p>
          <w:p w14:paraId="161D3726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9D977F4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sz w:val="20"/>
                <w:szCs w:val="20"/>
              </w:rPr>
              <w:t>~49.1% prevalence in cattle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[24]</w:t>
            </w:r>
          </w:p>
        </w:tc>
        <w:tc>
          <w:tcPr>
            <w:tcW w:w="2268" w:type="dxa"/>
          </w:tcPr>
          <w:p w14:paraId="26DBD2F7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Preventive chemotherapy (praziquantel)</w:t>
            </w:r>
          </w:p>
        </w:tc>
      </w:tr>
      <w:tr w:rsidR="00273743" w:rsidRPr="00661B05" w14:paraId="39EE6656" w14:textId="77777777" w:rsidTr="00DE7C5D">
        <w:trPr>
          <w:trHeight w:val="1327"/>
          <w:jc w:val="center"/>
        </w:trPr>
        <w:tc>
          <w:tcPr>
            <w:tcW w:w="1555" w:type="dxa"/>
          </w:tcPr>
          <w:p w14:paraId="58351CD2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African Trypanosomiasis</w:t>
            </w:r>
            <w:r w:rsidRPr="00661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661B0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T. b. rhodesiense</w:t>
            </w:r>
            <w:r w:rsidRPr="00661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14:paraId="089F8DDE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Trypanosoma brucei rhodesiense</w:t>
            </w:r>
          </w:p>
        </w:tc>
        <w:tc>
          <w:tcPr>
            <w:tcW w:w="2693" w:type="dxa"/>
          </w:tcPr>
          <w:p w14:paraId="6C122E80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sz w:val="20"/>
                <w:szCs w:val="20"/>
              </w:rPr>
              <w:t>~315 confirmed cases from 2012–2020</w:t>
            </w:r>
          </w:p>
          <w:p w14:paraId="108ECED4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sz w:val="20"/>
                <w:szCs w:val="20"/>
              </w:rPr>
              <w:t>High incidence (up to 5.9/100,000) in Rumphi District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[25]</w:t>
            </w:r>
          </w:p>
        </w:tc>
        <w:tc>
          <w:tcPr>
            <w:tcW w:w="2268" w:type="dxa"/>
          </w:tcPr>
          <w:p w14:paraId="51A144E6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sz w:val="20"/>
                <w:szCs w:val="20"/>
              </w:rPr>
              <w:t>Cattle reservoirs: 9.5% in Kasungu, 2.7% in Nkhotakota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[26]</w:t>
            </w:r>
          </w:p>
        </w:tc>
        <w:tc>
          <w:tcPr>
            <w:tcW w:w="2268" w:type="dxa"/>
          </w:tcPr>
          <w:p w14:paraId="32DD1A00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sz w:val="20"/>
                <w:szCs w:val="20"/>
              </w:rPr>
              <w:t>Effective treatments for both humans and animals</w:t>
            </w:r>
          </w:p>
          <w:p w14:paraId="673B41CC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sz w:val="20"/>
                <w:szCs w:val="20"/>
              </w:rPr>
              <w:t>No vaccine available</w:t>
            </w:r>
          </w:p>
          <w:p w14:paraId="67581A1B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3743" w:rsidRPr="00661B05" w14:paraId="1477F521" w14:textId="77777777" w:rsidTr="00DE7C5D">
        <w:trPr>
          <w:jc w:val="center"/>
        </w:trPr>
        <w:tc>
          <w:tcPr>
            <w:tcW w:w="1555" w:type="dxa"/>
          </w:tcPr>
          <w:p w14:paraId="09D8B3A2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Cysticercosis</w:t>
            </w:r>
            <w:r w:rsidRPr="00661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661B0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T. solium</w:t>
            </w:r>
            <w:r w:rsidRPr="00661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14:paraId="596FFEC7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Taenia solium</w:t>
            </w:r>
          </w:p>
        </w:tc>
        <w:tc>
          <w:tcPr>
            <w:tcW w:w="2693" w:type="dxa"/>
          </w:tcPr>
          <w:p w14:paraId="388E0996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sz w:val="20"/>
                <w:szCs w:val="20"/>
              </w:rPr>
              <w:t>Neurocysticercosis affects ~1% in rural Balaka</w:t>
            </w:r>
          </w:p>
          <w:p w14:paraId="3C128B8C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sz w:val="20"/>
                <w:szCs w:val="20"/>
              </w:rPr>
              <w:t>~3% report seizure-related symptoms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[27]</w:t>
            </w:r>
          </w:p>
          <w:p w14:paraId="2E803B59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87195BC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sz w:val="20"/>
                <w:szCs w:val="20"/>
              </w:rPr>
              <w:t>Endemic in pigs; 30–35% prevalence in some regions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[28]</w:t>
            </w:r>
          </w:p>
        </w:tc>
        <w:tc>
          <w:tcPr>
            <w:tcW w:w="2268" w:type="dxa"/>
          </w:tcPr>
          <w:p w14:paraId="0889FCF4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sz w:val="20"/>
                <w:szCs w:val="20"/>
              </w:rPr>
              <w:t>Treatment available for humans</w:t>
            </w:r>
          </w:p>
          <w:p w14:paraId="30B9E433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sz w:val="20"/>
                <w:szCs w:val="20"/>
              </w:rPr>
              <w:t>Control through meat inspection and deworming</w:t>
            </w:r>
          </w:p>
          <w:p w14:paraId="66743DE9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3743" w:rsidRPr="00661B05" w14:paraId="34BB5CE4" w14:textId="77777777" w:rsidTr="00DE7C5D">
        <w:trPr>
          <w:jc w:val="center"/>
        </w:trPr>
        <w:tc>
          <w:tcPr>
            <w:tcW w:w="1555" w:type="dxa"/>
          </w:tcPr>
          <w:p w14:paraId="5903B287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Zoonotic Avian Influenza</w:t>
            </w:r>
          </w:p>
        </w:tc>
        <w:tc>
          <w:tcPr>
            <w:tcW w:w="1417" w:type="dxa"/>
          </w:tcPr>
          <w:p w14:paraId="7DE4C014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Influenza A viruses</w:t>
            </w:r>
          </w:p>
        </w:tc>
        <w:tc>
          <w:tcPr>
            <w:tcW w:w="2693" w:type="dxa"/>
          </w:tcPr>
          <w:p w14:paraId="4BA9B3B4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human or animal cases to date</w:t>
            </w:r>
          </w:p>
        </w:tc>
        <w:tc>
          <w:tcPr>
            <w:tcW w:w="2268" w:type="dxa"/>
          </w:tcPr>
          <w:p w14:paraId="485FE4B8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sz w:val="20"/>
                <w:szCs w:val="20"/>
              </w:rPr>
              <w:t>No cases reported</w:t>
            </w:r>
          </w:p>
        </w:tc>
        <w:tc>
          <w:tcPr>
            <w:tcW w:w="2268" w:type="dxa"/>
          </w:tcPr>
          <w:p w14:paraId="21D64901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Vaccines and anti-viral available</w:t>
            </w:r>
          </w:p>
        </w:tc>
      </w:tr>
      <w:tr w:rsidR="00273743" w:rsidRPr="00661B05" w14:paraId="3A7BBE1E" w14:textId="77777777" w:rsidTr="00DE7C5D">
        <w:trPr>
          <w:jc w:val="center"/>
        </w:trPr>
        <w:tc>
          <w:tcPr>
            <w:tcW w:w="1555" w:type="dxa"/>
          </w:tcPr>
          <w:p w14:paraId="12E77325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Mpox</w:t>
            </w:r>
          </w:p>
        </w:tc>
        <w:tc>
          <w:tcPr>
            <w:tcW w:w="1417" w:type="dxa"/>
          </w:tcPr>
          <w:p w14:paraId="5438FD86" w14:textId="77777777" w:rsidR="00273743" w:rsidRPr="00661B05" w:rsidRDefault="00273743" w:rsidP="00DE7C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1B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Mpox virus</w:t>
            </w:r>
          </w:p>
        </w:tc>
        <w:tc>
          <w:tcPr>
            <w:tcW w:w="2693" w:type="dxa"/>
          </w:tcPr>
          <w:p w14:paraId="2962E887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 confirmed human cases since April 2025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[29]</w:t>
            </w:r>
          </w:p>
        </w:tc>
        <w:tc>
          <w:tcPr>
            <w:tcW w:w="2268" w:type="dxa"/>
          </w:tcPr>
          <w:p w14:paraId="527F5DA1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animal cases reported</w:t>
            </w:r>
          </w:p>
        </w:tc>
        <w:tc>
          <w:tcPr>
            <w:tcW w:w="2268" w:type="dxa"/>
          </w:tcPr>
          <w:p w14:paraId="7B37DA7A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Vaccines available.</w:t>
            </w:r>
          </w:p>
          <w:p w14:paraId="28C5773A" w14:textId="77777777" w:rsidR="00273743" w:rsidRPr="00135058" w:rsidRDefault="00273743" w:rsidP="00273743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1350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approved therapy yet</w:t>
            </w:r>
          </w:p>
        </w:tc>
      </w:tr>
    </w:tbl>
    <w:p w14:paraId="38395AC4" w14:textId="77777777" w:rsidR="00273743" w:rsidRDefault="00273743" w:rsidP="00273743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6111276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E4FDB"/>
    <w:multiLevelType w:val="hybridMultilevel"/>
    <w:tmpl w:val="60D4183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BF7E64"/>
    <w:multiLevelType w:val="hybridMultilevel"/>
    <w:tmpl w:val="12CA149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D20A66"/>
    <w:multiLevelType w:val="hybridMultilevel"/>
    <w:tmpl w:val="BB16B0E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103927"/>
    <w:multiLevelType w:val="hybridMultilevel"/>
    <w:tmpl w:val="A446AFC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AE18F6"/>
    <w:multiLevelType w:val="hybridMultilevel"/>
    <w:tmpl w:val="2DC66F1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30068405">
    <w:abstractNumId w:val="0"/>
  </w:num>
  <w:num w:numId="2" w16cid:durableId="1920291555">
    <w:abstractNumId w:val="1"/>
  </w:num>
  <w:num w:numId="3" w16cid:durableId="967588807">
    <w:abstractNumId w:val="4"/>
  </w:num>
  <w:num w:numId="4" w16cid:durableId="975450893">
    <w:abstractNumId w:val="2"/>
  </w:num>
  <w:num w:numId="5" w16cid:durableId="126576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743"/>
    <w:rsid w:val="00195413"/>
    <w:rsid w:val="00273743"/>
    <w:rsid w:val="003D0186"/>
    <w:rsid w:val="006C459D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FDBF0"/>
  <w15:chartTrackingRefBased/>
  <w15:docId w15:val="{0BABC61F-1AF1-4481-90E5-B05EB800D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743"/>
    <w:rPr>
      <w:lang w:val="en-Z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37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37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37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37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37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37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37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37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37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37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37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37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37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37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37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37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37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37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37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37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37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37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37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37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37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37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37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37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374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73743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449</Words>
  <Characters>2928</Characters>
  <Application>Microsoft Office Word</Application>
  <DocSecurity>0</DocSecurity>
  <Lines>77</Lines>
  <Paragraphs>37</Paragraphs>
  <ScaleCrop>false</ScaleCrop>
  <Company>Springer Nature</Company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2025-10-24T15:48:00Z</dcterms:created>
  <dcterms:modified xsi:type="dcterms:W3CDTF">2025-10-24T15:49:00Z</dcterms:modified>
</cp:coreProperties>
</file>