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default" w:ascii="Times New Roman" w:hAnsi="Times New Roman" w:cs="Times New Roman" w:eastAsiaTheme="minorEastAsia"/>
          <w:b/>
          <w:bCs/>
          <w:sz w:val="20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4"/>
          <w:lang w:val="en-US" w:eastAsia="zh-CN"/>
        </w:rPr>
        <w:t xml:space="preserve">Hui Liu </w:t>
      </w:r>
      <w:r>
        <w:rPr>
          <w:rFonts w:hint="default" w:ascii="Times New Roman" w:hAnsi="Times New Roman" w:cs="Times New Roman"/>
          <w:b/>
          <w:bCs/>
          <w:sz w:val="22"/>
        </w:rPr>
        <w:t xml:space="preserve">et al. </w:t>
      </w:r>
      <w:r>
        <w:rPr>
          <w:rFonts w:hint="default" w:ascii="Times New Roman" w:hAnsi="Times New Roman" w:cs="Times New Roman"/>
          <w:b/>
          <w:bCs/>
          <w:sz w:val="22"/>
          <w:lang w:val="en-US" w:eastAsia="zh-CN"/>
        </w:rPr>
        <w:t>Gender-specific associations of pregnancy-related anxiety with placental epigenetic patterning of glucocorticoid response genes and preschooler’s emotional symptoms and hyperactivity</w:t>
      </w:r>
    </w:p>
    <w:tbl>
      <w:tblPr>
        <w:tblStyle w:val="3"/>
        <w:tblpPr w:leftFromText="180" w:rightFromText="180" w:vertAnchor="text" w:horzAnchor="page" w:tblpX="1544" w:tblpY="67"/>
        <w:tblOverlap w:val="never"/>
        <w:tblW w:w="492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1272"/>
        <w:gridCol w:w="1572"/>
        <w:gridCol w:w="1716"/>
        <w:gridCol w:w="1068"/>
        <w:gridCol w:w="444"/>
        <w:gridCol w:w="1284"/>
        <w:gridCol w:w="1476"/>
        <w:gridCol w:w="1836"/>
        <w:gridCol w:w="11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000" w:type="pct"/>
            <w:gridSpan w:val="10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</w:pPr>
            <w:bookmarkStart w:id="0" w:name="OLE_LINK4"/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Sulplementary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 xml:space="preserve"> t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  <w:sz w:val="22"/>
                <w:szCs w:val="22"/>
              </w:rPr>
              <w:t>able</w:t>
            </w:r>
            <w:bookmarkEnd w:id="0"/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 Binary logistic regression models for associations between maternal pregnancy-related anxiety during the third trimester and </w:t>
            </w:r>
            <w:bookmarkStart w:id="1" w:name="OLE_LINK39"/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emotional symptoms, </w:t>
            </w:r>
            <w:bookmarkStart w:id="2" w:name="OLE_LINK38"/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hyperactivity</w:t>
            </w:r>
            <w:bookmarkEnd w:id="2"/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 in 4 years old children</w:t>
            </w:r>
            <w:bookmarkEnd w:id="1"/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in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DNA methylation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samples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8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Prenatal-related anxiety</w:t>
            </w:r>
          </w:p>
        </w:tc>
        <w:tc>
          <w:tcPr>
            <w:tcW w:w="2013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Emotional Symptoms</w:t>
            </w: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04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Hyperactivity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8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Normal</w:t>
            </w:r>
          </w:p>
        </w:tc>
        <w:tc>
          <w:tcPr>
            <w:tcW w:w="56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Borderline and Abnormal</w:t>
            </w:r>
          </w:p>
        </w:tc>
        <w:tc>
          <w:tcPr>
            <w:tcW w:w="61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OR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superscript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(95%CI)</w:t>
            </w:r>
          </w:p>
        </w:tc>
        <w:tc>
          <w:tcPr>
            <w:tcW w:w="382" w:type="pct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Normal</w:t>
            </w:r>
          </w:p>
        </w:tc>
        <w:tc>
          <w:tcPr>
            <w:tcW w:w="52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Borderline and Abnormal</w:t>
            </w:r>
          </w:p>
        </w:tc>
        <w:tc>
          <w:tcPr>
            <w:tcW w:w="65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OR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superscript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(95%CI)</w:t>
            </w:r>
          </w:p>
        </w:tc>
        <w:tc>
          <w:tcPr>
            <w:tcW w:w="399" w:type="pct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83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Total samples</w:t>
            </w:r>
          </w:p>
        </w:tc>
        <w:tc>
          <w:tcPr>
            <w:tcW w:w="455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562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13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382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459" w:type="pct"/>
            <w:tcBorders>
              <w:lef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528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656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399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83" w:type="pct"/>
          </w:tcPr>
          <w:p>
            <w:pPr>
              <w:spacing w:line="360" w:lineRule="auto"/>
              <w:ind w:firstLine="200" w:firstLineChars="10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No</w:t>
            </w:r>
          </w:p>
        </w:tc>
        <w:tc>
          <w:tcPr>
            <w:tcW w:w="455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151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5.3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62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4.7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13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1.00</w:t>
            </w:r>
          </w:p>
        </w:tc>
        <w:tc>
          <w:tcPr>
            <w:tcW w:w="382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459" w:type="pct"/>
            <w:tcBorders>
              <w:lef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157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(88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.7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0(1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1.3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56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1.00</w:t>
            </w:r>
          </w:p>
        </w:tc>
        <w:tc>
          <w:tcPr>
            <w:tcW w:w="399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</w:tcPr>
          <w:p>
            <w:pPr>
              <w:spacing w:line="36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455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128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74.4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62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25.6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13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(0.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6,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9)</w:t>
            </w:r>
          </w:p>
        </w:tc>
        <w:tc>
          <w:tcPr>
            <w:tcW w:w="382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0"/>
                <w:szCs w:val="20"/>
              </w:rPr>
              <w:t>0.2</w:t>
            </w:r>
            <w:r>
              <w:rPr>
                <w:rFonts w:hint="default" w:ascii="Times New Roman" w:hAnsi="Times New Roman" w:eastAsia="宋体" w:cs="Times New Roman"/>
                <w:bCs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Cs/>
                <w:sz w:val="20"/>
                <w:szCs w:val="20"/>
              </w:rPr>
            </w:pPr>
          </w:p>
        </w:tc>
        <w:tc>
          <w:tcPr>
            <w:tcW w:w="459" w:type="pct"/>
            <w:tcBorders>
              <w:lef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132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6.7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3.3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56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(1.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3.58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399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sz w:val="20"/>
                <w:szCs w:val="20"/>
                <w:lang w:val="en-US" w:eastAsia="zh-CN"/>
              </w:rPr>
              <w:t>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Boys</w:t>
            </w:r>
          </w:p>
        </w:tc>
        <w:tc>
          <w:tcPr>
            <w:tcW w:w="455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1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8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" w:type="pct"/>
            <w:tcBorders>
              <w:lef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28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56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99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  <w:vAlign w:val="top"/>
          </w:tcPr>
          <w:p>
            <w:pPr>
              <w:spacing w:line="360" w:lineRule="auto"/>
              <w:ind w:firstLine="200" w:firstLineChars="100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No</w:t>
            </w:r>
          </w:p>
        </w:tc>
        <w:tc>
          <w:tcPr>
            <w:tcW w:w="455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(81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.2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6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8.8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1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1.00</w:t>
            </w:r>
          </w:p>
        </w:tc>
        <w:tc>
          <w:tcPr>
            <w:tcW w:w="38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" w:type="pct"/>
            <w:tcBorders>
              <w:lef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5.9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4.1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56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1.00</w:t>
            </w:r>
          </w:p>
        </w:tc>
        <w:tc>
          <w:tcPr>
            <w:tcW w:w="399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  <w:vAlign w:val="top"/>
          </w:tcPr>
          <w:p>
            <w:pPr>
              <w:spacing w:line="36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455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.6)</w:t>
            </w:r>
          </w:p>
        </w:tc>
        <w:tc>
          <w:tcPr>
            <w:tcW w:w="56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.4)</w:t>
            </w:r>
          </w:p>
        </w:tc>
        <w:tc>
          <w:tcPr>
            <w:tcW w:w="61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0.77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(0.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,1.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91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38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0"/>
                <w:szCs w:val="20"/>
              </w:rPr>
              <w:t>0.</w:t>
            </w:r>
            <w:r>
              <w:rPr>
                <w:rFonts w:hint="default" w:ascii="Times New Roman" w:hAnsi="Times New Roman" w:eastAsia="宋体" w:cs="Times New Roman"/>
                <w:bCs/>
                <w:sz w:val="20"/>
                <w:szCs w:val="20"/>
                <w:lang w:val="en-US" w:eastAsia="zh-CN"/>
              </w:rPr>
              <w:t>566</w:t>
            </w: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Cs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" w:type="pct"/>
            <w:tcBorders>
              <w:lef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0.6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9.4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56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98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0.81,4.85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399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0"/>
                <w:szCs w:val="20"/>
                <w:lang w:val="en-US" w:eastAsia="zh-CN"/>
              </w:rPr>
              <w:t>0.134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Girls</w:t>
            </w:r>
          </w:p>
        </w:tc>
        <w:tc>
          <w:tcPr>
            <w:tcW w:w="455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1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8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" w:type="pct"/>
            <w:tcBorders>
              <w:lef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28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56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99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  <w:vAlign w:val="top"/>
          </w:tcPr>
          <w:p>
            <w:pPr>
              <w:spacing w:line="360" w:lineRule="auto"/>
              <w:ind w:firstLine="200" w:firstLineChars="100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No</w:t>
            </w:r>
          </w:p>
        </w:tc>
        <w:tc>
          <w:tcPr>
            <w:tcW w:w="455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9.1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6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0.9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1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1.00</w:t>
            </w:r>
          </w:p>
        </w:tc>
        <w:tc>
          <w:tcPr>
            <w:tcW w:w="38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8" w:type="pct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" w:type="pct"/>
            <w:tcBorders>
              <w:lef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91.3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8.7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56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1.00</w:t>
            </w:r>
          </w:p>
        </w:tc>
        <w:tc>
          <w:tcPr>
            <w:tcW w:w="399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3" w:type="pct"/>
            <w:vAlign w:val="top"/>
          </w:tcPr>
          <w:p>
            <w:pPr>
              <w:spacing w:line="360" w:lineRule="auto"/>
              <w:ind w:firstLine="200" w:firstLineChars="100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455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1.3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6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8.7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13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2.45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0.96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6.28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382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  <w:t>0.0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58" w:type="pct"/>
            <w:tcBorders>
              <w:top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" w:type="pct"/>
            <w:tcBorders>
              <w:left w:val="nil"/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72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82.8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528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17.2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656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72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(0.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4.78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)</w:t>
            </w:r>
          </w:p>
        </w:tc>
        <w:tc>
          <w:tcPr>
            <w:tcW w:w="399" w:type="pct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301</w:t>
            </w:r>
          </w:p>
        </w:tc>
      </w:tr>
    </w:tbl>
    <w:p>
      <w:pPr>
        <w:widowControl/>
        <w:ind w:firstLine="200" w:firstLineChars="100"/>
        <w:jc w:val="left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Abbreviations: CI, confidence interval; OR, odds ratio.</w:t>
      </w:r>
    </w:p>
    <w:p>
      <w:pPr>
        <w:ind w:left="199" w:leftChars="95" w:firstLine="0" w:firstLineChars="0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eastAsia="宋体" w:cs="Times New Roman"/>
          <w:sz w:val="20"/>
          <w:szCs w:val="20"/>
        </w:rPr>
        <w:t xml:space="preserve"> represents that these ORs adjusted by</w:t>
      </w:r>
      <w:r>
        <w:rPr>
          <w:rFonts w:hint="eastAsia" w:ascii="Times New Roman" w:hAnsi="Times New Roman" w:eastAsia="宋体" w:cs="Times New Roman"/>
          <w:sz w:val="20"/>
          <w:szCs w:val="20"/>
        </w:rPr>
        <w:t xml:space="preserve"> maternal age, p</w:t>
      </w:r>
      <w:r>
        <w:rPr>
          <w:rFonts w:ascii="Times New Roman" w:hAnsi="Times New Roman" w:eastAsia="宋体" w:cs="Times New Roman"/>
          <w:sz w:val="20"/>
          <w:szCs w:val="20"/>
        </w:rPr>
        <w:t>re-pregnancy BMI</w:t>
      </w:r>
      <w:r>
        <w:rPr>
          <w:rFonts w:hint="eastAsia" w:ascii="Times New Roman" w:hAnsi="Times New Roman" w:eastAsia="宋体" w:cs="Times New Roman"/>
          <w:sz w:val="20"/>
          <w:szCs w:val="20"/>
        </w:rPr>
        <w:t xml:space="preserve">, </w:t>
      </w:r>
      <w:r>
        <w:rPr>
          <w:rFonts w:ascii="Times New Roman" w:hAnsi="Times New Roman" w:eastAsia="宋体" w:cs="Times New Roman"/>
          <w:sz w:val="20"/>
          <w:szCs w:val="20"/>
        </w:rPr>
        <w:t>Gestational weight gain</w:t>
      </w:r>
      <w:r>
        <w:rPr>
          <w:rFonts w:hint="eastAsia" w:ascii="Times New Roman" w:hAnsi="Times New Roman" w:eastAsia="宋体" w:cs="Times New Roman"/>
          <w:sz w:val="20"/>
          <w:szCs w:val="20"/>
        </w:rPr>
        <w:t xml:space="preserve">, education, </w:t>
      </w:r>
      <w:r>
        <w:rPr>
          <w:rFonts w:ascii="Times New Roman" w:hAnsi="Times New Roman" w:eastAsia="宋体" w:cs="Times New Roman"/>
          <w:sz w:val="20"/>
          <w:szCs w:val="20"/>
        </w:rPr>
        <w:t xml:space="preserve">family monthly income, </w:t>
      </w:r>
      <w:r>
        <w:rPr>
          <w:rFonts w:hint="eastAsia" w:ascii="Times New Roman" w:hAnsi="Times New Roman" w:eastAsia="宋体" w:cs="Times New Roman"/>
          <w:sz w:val="20"/>
          <w:szCs w:val="20"/>
        </w:rPr>
        <w:t xml:space="preserve">smoking, drinking, </w:t>
      </w:r>
      <w:r>
        <w:rPr>
          <w:rFonts w:ascii="Times New Roman" w:hAnsi="Times New Roman" w:eastAsia="宋体" w:cs="Times New Roman"/>
          <w:sz w:val="20"/>
          <w:szCs w:val="20"/>
        </w:rPr>
        <w:t>gestational diabetes, pregnancy-induced hypertension</w:t>
      </w:r>
      <w:r>
        <w:rPr>
          <w:rFonts w:hint="eastAsia" w:ascii="Times New Roman" w:hAnsi="Times New Roman" w:eastAsia="宋体" w:cs="Times New Roman"/>
          <w:sz w:val="20"/>
          <w:szCs w:val="20"/>
        </w:rPr>
        <w:t xml:space="preserve">, </w:t>
      </w:r>
      <w:r>
        <w:rPr>
          <w:rFonts w:ascii="Times New Roman" w:hAnsi="Times New Roman" w:eastAsia="宋体" w:cs="Times New Roman"/>
          <w:sz w:val="20"/>
          <w:szCs w:val="20"/>
        </w:rPr>
        <w:t>delivery mode</w:t>
      </w:r>
      <w:r>
        <w:rPr>
          <w:rFonts w:hint="eastAsia" w:ascii="Times New Roman" w:hAnsi="Times New Roman" w:eastAsia="宋体" w:cs="Times New Roman"/>
          <w:sz w:val="20"/>
          <w:szCs w:val="20"/>
        </w:rPr>
        <w:t xml:space="preserve"> and</w:t>
      </w:r>
      <w:r>
        <w:rPr>
          <w:rFonts w:ascii="Times New Roman" w:hAnsi="Times New Roman" w:eastAsia="宋体" w:cs="Times New Roman"/>
          <w:sz w:val="20"/>
          <w:szCs w:val="20"/>
        </w:rPr>
        <w:t xml:space="preserve"> exclusive breastfeeding at first 6 months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826F8"/>
    <w:rsid w:val="040C3FD7"/>
    <w:rsid w:val="2BC826F8"/>
    <w:rsid w:val="34F03B74"/>
    <w:rsid w:val="3BAA18C1"/>
    <w:rsid w:val="3C09610F"/>
    <w:rsid w:val="7672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2021-09-07T05:44:00Z</dcterms:created>
  <dc:creator>刘小懒*</dc:creator>
  <cp:lastModifiedBy>刘小懒*</cp:lastModifiedBy>
  <dcterms:modified xsi:type="dcterms:W3CDTF">2021-10-02T07:41:14Z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37CBFAAA17D441AA900943FE4D1244D5</vt:lpwstr>
  </property>
</Properties>
</file>