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62756A">
      <w:pPr>
        <w:widowControl/>
        <w:snapToGrid w:val="0"/>
        <w:spacing w:line="480" w:lineRule="auto"/>
        <w:jc w:val="left"/>
        <w:rPr>
          <w:rFonts w:hint="eastAsia" w:ascii="Times New Roman" w:hAnsi="Times New Roman" w:eastAsia="微软雅黑"/>
          <w:b/>
          <w:bCs/>
          <w:i/>
          <w:iCs/>
          <w:sz w:val="24"/>
        </w:rPr>
      </w:pPr>
      <w:r>
        <w:rPr>
          <w:rFonts w:hint="eastAsia" w:ascii="Times New Roman" w:hAnsi="Times New Roman" w:eastAsia="微软雅黑"/>
          <w:b/>
          <w:bCs/>
          <w:i/>
          <w:iCs/>
          <w:sz w:val="24"/>
        </w:rPr>
        <w:t>Dat</w:t>
      </w:r>
      <w:r>
        <w:rPr>
          <w:rFonts w:ascii="Times New Roman" w:hAnsi="Times New Roman" w:eastAsia="微软雅黑"/>
          <w:b/>
          <w:bCs/>
          <w:i/>
          <w:iCs/>
          <w:sz w:val="24"/>
        </w:rPr>
        <w:t>a sets</w:t>
      </w:r>
    </w:p>
    <w:p w14:paraId="36A119DD">
      <w:pPr>
        <w:spacing w:line="360" w:lineRule="auto"/>
        <w:ind w:firstLine="480" w:firstLineChars="200"/>
        <w:rPr>
          <w:rFonts w:hint="default" w:ascii="Times New Roman" w:hAnsi="Times New Roman" w:cs="Times New Roman"/>
          <w:sz w:val="24"/>
          <w:szCs w:val="24"/>
        </w:rPr>
      </w:pPr>
      <w:bookmarkStart w:id="4" w:name="_GoBack"/>
      <w:bookmarkEnd w:id="4"/>
      <w:r>
        <w:rPr>
          <w:rFonts w:ascii="Times New Roman" w:hAnsi="Times New Roman" w:eastAsia="微软雅黑"/>
          <w:sz w:val="24"/>
        </w:rPr>
        <w:t>Out of all 1</w:t>
      </w:r>
      <w:r>
        <w:rPr>
          <w:rFonts w:hint="eastAsia" w:ascii="Times New Roman" w:hAnsi="Times New Roman" w:eastAsia="微软雅黑"/>
          <w:sz w:val="24"/>
          <w:lang w:val="en-US" w:eastAsia="zh-CN"/>
        </w:rPr>
        <w:t>652</w:t>
      </w:r>
      <w:r>
        <w:rPr>
          <w:rFonts w:ascii="Times New Roman" w:hAnsi="Times New Roman" w:eastAsia="微软雅黑"/>
          <w:sz w:val="24"/>
        </w:rPr>
        <w:t xml:space="preserve"> cases,</w:t>
      </w:r>
      <w:r>
        <w:rPr>
          <w:rFonts w:hint="default" w:ascii="Times New Roman" w:hAnsi="Times New Roman" w:cs="Times New Roman"/>
          <w:sz w:val="24"/>
          <w:szCs w:val="24"/>
        </w:rPr>
        <w:t xml:space="preserve"> 167 images due to a history of spinal surgery or trauma, 35 images due to incomplete imaging data, 52 images with significant artifacts or unaligned splices, 8 images from patients with metabolic bone diseases, 15 images showing spinal tuberculosis, 11 images showing spinal tumors, 9 images with congenital spinal deformities, and 7 images with neuromuscular spinal deformities</w:t>
      </w:r>
      <w:r>
        <w:rPr>
          <w:rFonts w:hint="eastAsia" w:ascii="Times New Roman" w:hAnsi="Times New Roman" w:cs="Times New Roman"/>
          <w:sz w:val="24"/>
          <w:szCs w:val="24"/>
          <w:lang w:val="en-US" w:eastAsia="zh-CN"/>
        </w:rPr>
        <w:t xml:space="preserve"> </w:t>
      </w:r>
      <w:r>
        <w:rPr>
          <w:rFonts w:ascii="Times New Roman" w:hAnsi="Times New Roman" w:eastAsia="微软雅黑"/>
          <w:sz w:val="24"/>
        </w:rPr>
        <w:t xml:space="preserve"> were excluded based on the study's inclusion and exclusion criteria.</w:t>
      </w:r>
      <w:bookmarkStart w:id="0" w:name="OLE_LINK1"/>
      <w:r>
        <w:rPr>
          <w:rFonts w:ascii="Times New Roman" w:hAnsi="Times New Roman" w:eastAsia="微软雅黑"/>
          <w:sz w:val="24"/>
        </w:rPr>
        <w:t>A total of 13</w:t>
      </w:r>
      <w:r>
        <w:rPr>
          <w:rFonts w:hint="eastAsia" w:ascii="Times New Roman" w:hAnsi="Times New Roman" w:eastAsia="微软雅黑"/>
          <w:sz w:val="24"/>
          <w:lang w:val="en-US" w:eastAsia="zh-CN"/>
        </w:rPr>
        <w:t>4</w:t>
      </w:r>
      <w:r>
        <w:rPr>
          <w:rFonts w:ascii="Times New Roman" w:hAnsi="Times New Roman" w:eastAsia="微软雅黑"/>
          <w:sz w:val="24"/>
        </w:rPr>
        <w:t xml:space="preserve">8 </w:t>
      </w:r>
      <w:r>
        <w:rPr>
          <w:rFonts w:hint="default" w:ascii="Times New Roman" w:hAnsi="Times New Roman" w:cs="Times New Roman"/>
          <w:sz w:val="24"/>
          <w:szCs w:val="24"/>
        </w:rPr>
        <w:t xml:space="preserve">whole-spine frontal/lateral DR images </w:t>
      </w:r>
      <w:r>
        <w:rPr>
          <w:rFonts w:ascii="Times New Roman" w:hAnsi="Times New Roman" w:eastAsia="微软雅黑"/>
          <w:sz w:val="24"/>
        </w:rPr>
        <w:t>were finally included, which were randomly assigned as training set, validation set, and test set according to the ratio of 65%, 20%, and 15%, respectively.</w:t>
      </w:r>
      <w:bookmarkEnd w:id="0"/>
      <w:r>
        <w:rPr>
          <w:rFonts w:hint="default" w:ascii="Times New Roman" w:hAnsi="Times New Roman" w:cs="Times New Roman"/>
          <w:sz w:val="24"/>
          <w:szCs w:val="24"/>
        </w:rPr>
        <w:t>Specifically, the training set was used to optimize the model parameters (n = 435), the validation set to adjust the model hyperparameters (n = 101), and the test set to evaluate the performance of the trained model (n = 138).</w:t>
      </w:r>
    </w:p>
    <w:p w14:paraId="1647CD6A">
      <w:pPr>
        <w:bidi w:val="0"/>
        <w:spacing w:line="360" w:lineRule="auto"/>
        <w:rPr>
          <w:rFonts w:hint="default" w:ascii="Times New Roman" w:hAnsi="Times New Roman" w:cs="Times New Roman"/>
          <w:b/>
          <w:bCs/>
          <w:i/>
          <w:iCs/>
          <w:sz w:val="24"/>
          <w:szCs w:val="24"/>
        </w:rPr>
      </w:pPr>
      <w:r>
        <w:rPr>
          <w:rFonts w:hint="default" w:ascii="Times New Roman" w:hAnsi="Times New Roman" w:cs="Times New Roman"/>
          <w:b/>
          <w:bCs/>
          <w:i/>
          <w:iCs/>
          <w:sz w:val="24"/>
          <w:szCs w:val="24"/>
        </w:rPr>
        <w:t>DR Whole-Spine Imaging Equipment</w:t>
      </w:r>
    </w:p>
    <w:p w14:paraId="12CCDD6B">
      <w:pPr>
        <w:numPr>
          <w:ilvl w:val="0"/>
          <w:numId w:val="1"/>
        </w:numPr>
        <w:bidi w:val="0"/>
        <w:spacing w:line="360" w:lineRule="auto"/>
        <w:ind w:firstLine="420" w:firstLineChars="0"/>
        <w:rPr>
          <w:rFonts w:hint="default" w:ascii="Times New Roman" w:hAnsi="Times New Roman" w:cs="Times New Roman"/>
          <w:sz w:val="24"/>
          <w:szCs w:val="24"/>
        </w:rPr>
      </w:pPr>
      <w:r>
        <w:rPr>
          <w:rFonts w:hint="default" w:ascii="Times New Roman" w:hAnsi="Times New Roman" w:cs="Times New Roman"/>
          <w:sz w:val="24"/>
          <w:szCs w:val="24"/>
        </w:rPr>
        <w:t>DRX-Evolution DR imaging system equipped with a wireless flat-panel detector and a full-length standing stand with a graduated scale. Examination equipment and imaging parameters were consistent across all procedures.</w:t>
      </w:r>
      <w:r>
        <w:rPr>
          <w:rFonts w:hint="default" w:ascii="Times New Roman" w:hAnsi="Times New Roman" w:cs="Times New Roman"/>
          <w:sz w:val="24"/>
          <w:szCs w:val="24"/>
          <w:lang w:val="en-US"/>
        </w:rPr>
        <w:t xml:space="preserve"> (2) </w:t>
      </w:r>
      <w:r>
        <w:rPr>
          <w:rFonts w:hint="default" w:ascii="Times New Roman" w:hAnsi="Times New Roman" w:cs="Times New Roman"/>
          <w:sz w:val="24"/>
          <w:szCs w:val="24"/>
        </w:rPr>
        <w:t>Carestream DRX-Evolution Dual Plate Functional Digital Radiography System with a standing auto-tracking camera stand and integrated lead scale.</w:t>
      </w:r>
      <w:r>
        <w:rPr>
          <w:rFonts w:hint="default" w:ascii="Times New Roman" w:hAnsi="Times New Roman" w:cs="Times New Roman"/>
          <w:sz w:val="24"/>
          <w:szCs w:val="24"/>
          <w:lang w:val="en-US"/>
        </w:rPr>
        <w:t xml:space="preserve"> (3) </w:t>
      </w:r>
      <w:r>
        <w:rPr>
          <w:rFonts w:hint="default" w:ascii="Times New Roman" w:hAnsi="Times New Roman" w:cs="Times New Roman"/>
          <w:sz w:val="24"/>
          <w:szCs w:val="24"/>
        </w:rPr>
        <w:t>Carestream DR Long Length Imaging System with image stitching software.</w:t>
      </w:r>
      <w:r>
        <w:rPr>
          <w:rFonts w:hint="default" w:ascii="Times New Roman" w:hAnsi="Times New Roman" w:cs="Times New Roman"/>
          <w:sz w:val="24"/>
          <w:szCs w:val="24"/>
          <w:lang w:val="en-US"/>
        </w:rPr>
        <w:t xml:space="preserve"> (4) </w:t>
      </w:r>
      <w:r>
        <w:rPr>
          <w:rFonts w:hint="default" w:ascii="Times New Roman" w:hAnsi="Times New Roman" w:cs="Times New Roman"/>
          <w:sz w:val="24"/>
          <w:szCs w:val="24"/>
        </w:rPr>
        <w:t>Whole-spine DR image annotation software (JPHV, Annotation 1.0.0).</w:t>
      </w:r>
    </w:p>
    <w:p w14:paraId="2B1B10E4">
      <w:pPr>
        <w:bidi w:val="0"/>
        <w:spacing w:line="360" w:lineRule="auto"/>
        <w:rPr>
          <w:rFonts w:hint="default" w:ascii="Times New Roman" w:hAnsi="Times New Roman" w:cs="Times New Roman"/>
          <w:b/>
          <w:bCs/>
          <w:i w:val="0"/>
          <w:iCs w:val="0"/>
          <w:sz w:val="24"/>
          <w:szCs w:val="24"/>
        </w:rPr>
      </w:pPr>
      <w:r>
        <w:rPr>
          <w:rFonts w:hint="default" w:ascii="Times New Roman" w:hAnsi="Times New Roman" w:cs="Times New Roman"/>
          <w:b/>
          <w:bCs/>
          <w:i w:val="0"/>
          <w:iCs w:val="0"/>
          <w:sz w:val="24"/>
          <w:szCs w:val="24"/>
        </w:rPr>
        <w:t>Model Construction</w:t>
      </w:r>
    </w:p>
    <w:p w14:paraId="29C47E9A">
      <w:pPr>
        <w:bidi w:val="0"/>
        <w:spacing w:line="360" w:lineRule="auto"/>
        <w:rPr>
          <w:rFonts w:hint="default" w:ascii="Times New Roman" w:hAnsi="Times New Roman" w:cs="Times New Roman"/>
          <w:sz w:val="24"/>
          <w:szCs w:val="24"/>
        </w:rPr>
      </w:pPr>
      <w:r>
        <w:rPr>
          <w:rFonts w:hint="default" w:ascii="Times New Roman" w:hAnsi="Times New Roman" w:cs="Times New Roman"/>
          <w:b/>
          <w:bCs/>
          <w:i/>
          <w:iCs/>
          <w:sz w:val="24"/>
          <w:szCs w:val="24"/>
        </w:rPr>
        <w:t>Coordinate Encoding and Decoding</w:t>
      </w:r>
      <w:r>
        <w:rPr>
          <w:rFonts w:hint="default" w:ascii="Times New Roman" w:hAnsi="Times New Roman" w:cs="Times New Roman"/>
          <w:b/>
          <w:bCs/>
          <w:i/>
          <w:iCs/>
          <w:sz w:val="24"/>
          <w:szCs w:val="24"/>
        </w:rPr>
        <w:br w:type="textWrapping"/>
      </w:r>
      <w:r>
        <w:rPr>
          <w:rFonts w:hint="default" w:ascii="Times New Roman" w:hAnsi="Times New Roman" w:cs="Times New Roman"/>
          <w:b/>
          <w:bCs/>
          <w:i/>
          <w:iCs/>
          <w:sz w:val="24"/>
          <w:szCs w:val="24"/>
          <w:lang w:val="en-US"/>
        </w:rPr>
        <w:tab/>
      </w:r>
      <w:r>
        <w:rPr>
          <w:rFonts w:hint="default" w:ascii="Times New Roman" w:hAnsi="Times New Roman" w:cs="Times New Roman"/>
          <w:sz w:val="24"/>
          <w:szCs w:val="24"/>
        </w:rPr>
        <w:t>The DL model for landmark recognition required a label representation to encode landmark coordinate labels. This process facilitated the optimization of supervised learning loss during model training and enabled coordinate decoding during inference. Heatmaps were employed to encode the coordinates, similar to class label smoothing regularization</w:t>
      </w:r>
      <w:r>
        <w:rPr>
          <w:rFonts w:hint="default" w:ascii="Times New Roman" w:hAnsi="Times New Roman" w:cs="Times New Roman"/>
          <w:sz w:val="24"/>
          <w:szCs w:val="24"/>
        </w:rPr>
        <w:fldChar w:fldCharType="begin"/>
      </w:r>
      <w:r>
        <w:rPr>
          <w:rFonts w:hint="eastAsia" w:ascii="Times New Roman" w:hAnsi="Times New Roman" w:cs="Times New Roman"/>
          <w:sz w:val="24"/>
          <w:szCs w:val="24"/>
          <w:lang w:eastAsia="zh-CN"/>
        </w:rPr>
        <w:instrText xml:space="preserve"> ADDIN NE.Ref.{F8BDB2AC-BA80-4F59-985C-53A65AB4C3EA}</w:instrText>
      </w:r>
      <w:r>
        <w:rPr>
          <w:rFonts w:hint="default" w:ascii="Times New Roman" w:hAnsi="Times New Roman" w:cs="Times New Roman"/>
          <w:sz w:val="24"/>
          <w:szCs w:val="24"/>
        </w:rPr>
        <w:fldChar w:fldCharType="separate"/>
      </w:r>
      <w:r>
        <w:rPr>
          <w:rFonts w:hint="eastAsia" w:ascii="宋体" w:hAnsi="宋体"/>
          <w:color w:val="080000"/>
          <w:sz w:val="21"/>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This approach effectively mitigated the risk of model overfitting during training by incorporating contextual information and addressing the inherent ambiguity of target positions.</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The coordinate encoding process converted the landmark coordinates into heatmap representations. Formally, </w:t>
      </w:r>
      <w:r>
        <w:rPr>
          <w:rFonts w:hint="default" w:ascii="Times New Roman" w:hAnsi="Times New Roman" w:cs="Times New Roman"/>
          <w:color w:val="000000"/>
          <w:sz w:val="24"/>
          <w:szCs w:val="24"/>
        </w:rPr>
        <w:t xml:space="preserve">we denote by </w:t>
      </w:r>
      <m:oMath>
        <m:r>
          <m:rPr>
            <m:sty m:val="bi"/>
          </m:rPr>
          <w:rPr>
            <w:rFonts w:hint="default" w:ascii="Cambria Math" w:hAnsi="Cambria Math"/>
            <w:color w:val="000000"/>
            <w:sz w:val="20"/>
            <w:szCs w:val="20"/>
          </w:rPr>
          <m:t>g</m:t>
        </m:r>
        <m:r>
          <m:rPr/>
          <w:rPr>
            <w:rFonts w:hint="default" w:ascii="Cambria Math" w:hAnsi="Cambria Math"/>
            <w:color w:val="000000"/>
            <w:sz w:val="20"/>
            <w:szCs w:val="20"/>
          </w:rPr>
          <m:t>=</m:t>
        </m:r>
        <m:d>
          <m:dPr>
            <m:ctrlPr>
              <w:rPr>
                <w:rFonts w:hint="default" w:ascii="Cambria Math" w:hAnsi="Cambria Math"/>
                <w:color w:val="000000"/>
                <w:sz w:val="20"/>
                <w:szCs w:val="20"/>
              </w:rPr>
            </m:ctrlPr>
          </m:dPr>
          <m:e>
            <m:r>
              <m:rPr/>
              <w:rPr>
                <w:rFonts w:hint="default" w:ascii="Cambria Math" w:hAnsi="Cambria Math"/>
                <w:color w:val="000000"/>
                <w:sz w:val="20"/>
                <w:szCs w:val="20"/>
              </w:rPr>
              <m:t>u,v</m:t>
            </m:r>
            <m:ctrlPr>
              <w:rPr>
                <w:rFonts w:hint="default" w:ascii="Cambria Math" w:hAnsi="Cambria Math"/>
                <w:color w:val="000000"/>
                <w:sz w:val="20"/>
                <w:szCs w:val="20"/>
              </w:rPr>
            </m:ctrlPr>
          </m:e>
        </m:d>
      </m:oMath>
      <w:r>
        <w:rPr>
          <w:rFonts w:hint="default" w:ascii="Times New Roman" w:hAnsi="Times New Roman" w:cs="Times New Roman"/>
          <w:color w:val="000000"/>
          <w:sz w:val="24"/>
          <w:szCs w:val="24"/>
        </w:rPr>
        <w:t xml:space="preserve"> the ground-truth coordinate</w:t>
      </w:r>
      <w:r>
        <w:rPr>
          <w:rFonts w:hint="default" w:ascii="Times New Roman" w:hAnsi="Times New Roman" w:cs="Times New Roman"/>
          <w:sz w:val="24"/>
          <w:szCs w:val="24"/>
        </w:rPr>
        <w:t xml:space="preserve"> of a landmark</w:t>
      </w:r>
      <w:r>
        <w:rPr>
          <w:rFonts w:hint="default" w:ascii="Times New Roman" w:hAnsi="Times New Roman" w:cs="Times New Roman"/>
          <w:sz w:val="24"/>
          <w:szCs w:val="24"/>
          <w:lang w:val="en-US"/>
        </w:rPr>
        <w:t>.</w:t>
      </w:r>
      <w:r>
        <w:rPr>
          <w:rFonts w:hint="default" w:ascii="Times New Roman" w:hAnsi="Times New Roman" w:cs="Times New Roman"/>
          <w:sz w:val="24"/>
          <w:szCs w:val="24"/>
        </w:rPr>
        <w:t xml:space="preserve"> </w:t>
      </w:r>
      <w:r>
        <w:rPr>
          <w:rFonts w:hint="default" w:ascii="Times New Roman" w:hAnsi="Times New Roman" w:cs="Times New Roman"/>
          <w:color w:val="000000"/>
          <w:sz w:val="24"/>
          <w:szCs w:val="24"/>
        </w:rPr>
        <w:t>The resolution reduction was defined as</w:t>
      </w:r>
      <w:r>
        <w:rPr>
          <w:rFonts w:hint="default" w:ascii="Times New Roman" w:hAnsi="Times New Roman" w:cs="Times New Roman"/>
          <w:sz w:val="24"/>
          <w:szCs w:val="24"/>
        </w:rPr>
        <w:t>:</w:t>
      </w:r>
    </w:p>
    <w:p w14:paraId="52D03B68">
      <w:pPr>
        <w:bidi w:val="0"/>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1382395" cy="39751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382395" cy="397510"/>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rPr>
        <w:t>1</w:t>
      </w:r>
      <w:r>
        <w:rPr>
          <w:rFonts w:hint="default" w:ascii="Times New Roman" w:hAnsi="Times New Roman" w:cs="Times New Roman"/>
          <w:sz w:val="24"/>
          <w:szCs w:val="24"/>
          <w:lang w:eastAsia="zh-CN"/>
        </w:rPr>
        <w:t>）</w:t>
      </w:r>
    </w:p>
    <w:p w14:paraId="6E5B764B">
      <w:pPr>
        <w:bidi w:val="0"/>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where </w:t>
      </w:r>
      <m:oMath>
        <m:r>
          <m:rPr/>
          <w:rPr>
            <w:rFonts w:hint="default" w:ascii="Cambria Math" w:hAnsi="Cambria Math"/>
            <w:color w:val="000000"/>
            <w:sz w:val="20"/>
            <w:szCs w:val="20"/>
          </w:rPr>
          <m:t>λ</m:t>
        </m:r>
      </m:oMath>
      <w:r>
        <w:rPr>
          <w:rFonts w:hint="default" w:ascii="Times New Roman" w:hAnsi="Times New Roman" w:cs="Times New Roman"/>
          <w:sz w:val="24"/>
          <w:szCs w:val="24"/>
        </w:rPr>
        <w:t xml:space="preserve"> is the down sampling ratio.</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Subsequently, the heatmap centered at the accurate coordinate </w:t>
      </w:r>
      <m:oMath>
        <m:sSup>
          <m:sSupPr>
            <m:ctrlPr>
              <w:rPr>
                <w:rFonts w:hint="default" w:ascii="Cambria Math" w:hAnsi="Cambria Math"/>
                <w:color w:val="000000"/>
                <w:sz w:val="20"/>
                <w:szCs w:val="20"/>
              </w:rPr>
            </m:ctrlPr>
          </m:sSupPr>
          <m:e>
            <m:r>
              <m:rPr>
                <m:sty m:val="bi"/>
              </m:rPr>
              <w:rPr>
                <w:rFonts w:hint="default" w:ascii="Cambria Math" w:hAnsi="Cambria Math"/>
                <w:color w:val="000000"/>
                <w:sz w:val="20"/>
                <w:szCs w:val="20"/>
              </w:rPr>
              <m:t>g</m:t>
            </m:r>
            <m:ctrlPr>
              <w:rPr>
                <w:rFonts w:hint="default" w:ascii="Cambria Math" w:hAnsi="Cambria Math"/>
                <w:color w:val="000000"/>
                <w:sz w:val="20"/>
                <w:szCs w:val="20"/>
              </w:rPr>
            </m:ctrlPr>
          </m:e>
          <m:sup>
            <m:r>
              <m:rPr>
                <m:sty m:val="p"/>
              </m:rPr>
              <w:rPr>
                <w:rFonts w:hint="default" w:ascii="Cambria Math" w:hAnsi="Cambria Math"/>
                <w:color w:val="000000"/>
                <w:sz w:val="20"/>
                <w:szCs w:val="20"/>
              </w:rPr>
              <m:t>'</m:t>
            </m:r>
            <m:ctrlPr>
              <w:rPr>
                <w:rFonts w:hint="default" w:ascii="Cambria Math" w:hAnsi="Cambria Math"/>
                <w:color w:val="000000"/>
                <w:sz w:val="20"/>
                <w:szCs w:val="20"/>
              </w:rPr>
            </m:ctrlPr>
          </m:sup>
        </m:sSup>
      </m:oMath>
      <w:r>
        <w:rPr>
          <w:rFonts w:hint="default" w:ascii="Times New Roman" w:hAnsi="Times New Roman" w:cs="Times New Roman"/>
          <w:sz w:val="24"/>
          <w:szCs w:val="24"/>
        </w:rPr>
        <w:t xml:space="preserve"> can be denoted as:</w:t>
      </w:r>
    </w:p>
    <w:p w14:paraId="7ECED92F">
      <w:pPr>
        <w:bidi w:val="0"/>
        <w:spacing w:line="360" w:lineRule="auto"/>
        <w:rPr>
          <w:rFonts w:hint="default" w:ascii="Times New Roman" w:hAnsi="Times New Roman" w:cs="Times New Roman"/>
          <w:sz w:val="24"/>
          <w:szCs w:val="24"/>
          <w:lang w:val="en-US"/>
        </w:rPr>
      </w:pPr>
    </w:p>
    <w:p w14:paraId="3D8D15BB">
      <w:pPr>
        <w:bidi w:val="0"/>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2775585" cy="593090"/>
            <wp:effectExtent l="0" t="0" r="9525"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5"/>
                    <a:stretch>
                      <a:fillRect/>
                    </a:stretch>
                  </pic:blipFill>
                  <pic:spPr>
                    <a:xfrm>
                      <a:off x="0" y="0"/>
                      <a:ext cx="2775585" cy="593090"/>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rPr>
        <w:t>2</w:t>
      </w:r>
      <w:r>
        <w:rPr>
          <w:rFonts w:hint="default" w:ascii="Times New Roman" w:hAnsi="Times New Roman" w:cs="Times New Roman"/>
          <w:sz w:val="24"/>
          <w:szCs w:val="24"/>
          <w:lang w:eastAsia="zh-CN"/>
        </w:rPr>
        <w:t>）</w:t>
      </w:r>
    </w:p>
    <w:p w14:paraId="09E26C06">
      <w:pPr>
        <w:bidi w:val="0"/>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where </w:t>
      </w:r>
      <m:oMath>
        <m:d>
          <m:dPr>
            <m:ctrlPr>
              <w:rPr>
                <w:rFonts w:hint="default" w:ascii="Cambria Math" w:hAnsi="Cambria Math" w:cs="Times New Roman"/>
              </w:rPr>
            </m:ctrlPr>
          </m:dPr>
          <m:e>
            <m:r>
              <m:rPr/>
              <w:rPr>
                <w:rFonts w:hint="default" w:ascii="Cambria Math" w:hAnsi="Cambria Math" w:cs="Times New Roman"/>
              </w:rPr>
              <m:t>x,y</m:t>
            </m:r>
            <m:ctrlPr>
              <w:rPr>
                <w:rFonts w:hint="default" w:ascii="Cambria Math" w:hAnsi="Cambria Math" w:cs="Times New Roman"/>
              </w:rPr>
            </m:ctrlPr>
          </m:e>
        </m:d>
      </m:oMath>
      <w:r>
        <w:rPr>
          <w:rFonts w:hint="default" w:ascii="Times New Roman" w:hAnsi="Times New Roman" w:cs="Times New Roman"/>
          <w:sz w:val="24"/>
          <w:szCs w:val="24"/>
        </w:rPr>
        <w:t xml:space="preserve"> specifies a pixel location in the heatmap, and </w:t>
      </w:r>
      <m:oMath>
        <m:r>
          <m:rPr/>
          <w:rPr>
            <w:rFonts w:hint="default" w:ascii="Cambria Math" w:hAnsi="Cambria Math" w:cs="Times New Roman"/>
          </w:rPr>
          <m:t>σ</m:t>
        </m:r>
      </m:oMath>
      <w:r>
        <w:rPr>
          <w:rFonts w:hint="default" w:ascii="Times New Roman" w:hAnsi="Times New Roman" w:cs="Times New Roman"/>
          <w:sz w:val="24"/>
          <w:szCs w:val="24"/>
        </w:rPr>
        <w:t xml:space="preserve"> denotes a fixed spatial variance.Coordinate decoding refers to the process of inferring coordinates from the heatmap by identifying the maximum activation based on the distribution structure of the predicted heatmap.</w:t>
      </w:r>
    </w:p>
    <w:p w14:paraId="16924F27">
      <w:pPr>
        <w:bidi w:val="0"/>
        <w:spacing w:line="360" w:lineRule="auto"/>
        <w:rPr>
          <w:rFonts w:hint="default" w:ascii="Times New Roman" w:hAnsi="Times New Roman" w:cs="Times New Roman"/>
          <w:b/>
          <w:bCs/>
          <w:i/>
          <w:iCs/>
          <w:sz w:val="24"/>
          <w:szCs w:val="24"/>
        </w:rPr>
      </w:pPr>
      <w:r>
        <w:rPr>
          <w:rFonts w:hint="default" w:ascii="Times New Roman" w:hAnsi="Times New Roman" w:cs="Times New Roman"/>
          <w:b/>
          <w:bCs/>
          <w:i/>
          <w:iCs/>
          <w:sz w:val="24"/>
          <w:szCs w:val="24"/>
        </w:rPr>
        <w:t>DL Modeling of Whole-Spine Frontal and Lateral DR Images in AIS Patients</w:t>
      </w:r>
    </w:p>
    <w:p w14:paraId="0A3507AB">
      <w:pPr>
        <w:bidi w:val="0"/>
        <w:spacing w:line="360" w:lineRule="auto"/>
        <w:rPr>
          <w:rFonts w:hint="default" w:ascii="Times New Roman" w:hAnsi="Times New Roman" w:cs="Times New Roman"/>
          <w:sz w:val="24"/>
          <w:szCs w:val="24"/>
        </w:rPr>
      </w:pPr>
      <w:r>
        <w:rPr>
          <w:rFonts w:hint="default" w:ascii="Times New Roman" w:hAnsi="Times New Roman" w:cs="Times New Roman"/>
          <w:b/>
          <w:bCs/>
          <w:sz w:val="24"/>
          <w:szCs w:val="24"/>
        </w:rPr>
        <w:t>(1) Whole-Spine Frontal DL Model</w:t>
      </w:r>
    </w:p>
    <w:p w14:paraId="74E950CD">
      <w:pPr>
        <w:spacing w:line="360" w:lineRule="auto"/>
        <w:ind w:firstLine="480" w:firstLineChars="200"/>
        <w:rPr>
          <w:rFonts w:hint="eastAsia" w:ascii="Times New Roman" w:hAnsi="Times New Roman" w:cs="Times New Roman"/>
          <w:sz w:val="24"/>
          <w:szCs w:val="24"/>
          <w:lang w:val="en-US" w:eastAsia="zh-CN"/>
        </w:rPr>
      </w:pPr>
      <w:r>
        <w:rPr>
          <w:rFonts w:hint="default" w:ascii="Times New Roman" w:hAnsi="Times New Roman" w:cs="Times New Roman"/>
          <w:sz w:val="24"/>
          <w:szCs w:val="24"/>
        </w:rPr>
        <w:t xml:space="preserve">The frontal whole-spine DL model employs the VF-Net backbone network,which consists of encoders and decoders. The encoders utilize the ResNet34 network, while each layer of the decoder is connected to its corresponding encoder layer through a skip-connection structure. The network output comprises three components: Heatmap, Center Offset, and Corner Offset, as illustrated in Figure </w:t>
      </w:r>
      <w:r>
        <w:rPr>
          <w:rFonts w:hint="eastAsia" w:ascii="Times New Roman" w:hAnsi="Times New Roman" w:cs="Times New Roman"/>
          <w:sz w:val="24"/>
          <w:szCs w:val="24"/>
          <w:lang w:val="en-US" w:eastAsia="zh-CN"/>
        </w:rPr>
        <w:t>S1.</w:t>
      </w:r>
    </w:p>
    <w:p w14:paraId="14B588C3">
      <w:pPr>
        <w:widowControl/>
        <w:bidi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JansonTextLT-Roman" w:cs="Times New Roman"/>
          <w:color w:val="231F20"/>
          <w:kern w:val="0"/>
          <w:sz w:val="24"/>
          <w:szCs w:val="24"/>
          <w:lang w:val="en-US" w:eastAsia="zh-CN" w:bidi="ar"/>
        </w:rPr>
        <w:t xml:space="preserve">The original images were resized to a resolution of 1024×512 pixels in the first stage.In the model training phase, data augmentation methods such </w:t>
      </w:r>
      <w:r>
        <w:rPr>
          <w:rFonts w:hint="default" w:ascii="Times New Roman" w:hAnsi="Times New Roman" w:eastAsia="Janson Text LT" w:cs="Times New Roman"/>
          <w:color w:val="231F20"/>
          <w:kern w:val="0"/>
          <w:sz w:val="24"/>
          <w:szCs w:val="24"/>
          <w:lang w:val="en-US" w:eastAsia="zh-CN" w:bidi="ar"/>
        </w:rPr>
        <w:t xml:space="preserve">as random rotation (−30° to +30°), random scaling, and horizontal flipping were applied to increase the data diversity </w:t>
      </w:r>
      <w:r>
        <w:rPr>
          <w:rFonts w:hint="default" w:ascii="Times New Roman" w:hAnsi="Times New Roman" w:eastAsia="JansonTextLT-Roman" w:cs="Times New Roman"/>
          <w:color w:val="231F20"/>
          <w:kern w:val="0"/>
          <w:sz w:val="24"/>
          <w:szCs w:val="24"/>
          <w:lang w:val="en-US" w:eastAsia="zh-CN" w:bidi="ar"/>
        </w:rPr>
        <w:t>to improve model robustness.</w:t>
      </w:r>
      <w:r>
        <w:rPr>
          <w:rFonts w:hint="default" w:ascii="Times New Roman" w:hAnsi="Times New Roman" w:cs="Times New Roman"/>
          <w:sz w:val="24"/>
          <w:szCs w:val="24"/>
        </w:rPr>
        <w:t xml:space="preserve">The augmented image was then input into the network to produce the center coordinates, center point offsets, and corner point offsets for each vertebra. The loss between the three output components and the ground truth (GT) was calculated, and the network was iteratively optimized using back-propagation.For inference, </w:t>
      </w:r>
      <w:r>
        <w:rPr>
          <w:rFonts w:hint="eastAsia" w:ascii="Times New Roman" w:hAnsi="Times New Roman" w:cs="Times New Roman"/>
          <w:sz w:val="24"/>
          <w:szCs w:val="24"/>
          <w:lang w:val="en-US" w:eastAsia="zh-CN"/>
        </w:rPr>
        <w:t>t</w:t>
      </w:r>
      <w:r>
        <w:rPr>
          <w:rFonts w:hint="default" w:ascii="Times New Roman" w:hAnsi="Times New Roman" w:cs="Times New Roman"/>
          <w:sz w:val="24"/>
          <w:szCs w:val="24"/>
        </w:rPr>
        <w:t>he center coordinates and center point offsets were used to compute the actual coordinates of the vertebral centers. Subsequently, the corner point offsets were used to calculate the coordinates of the four corner points of each vertebra based on the vertebral center coordinates.</w:t>
      </w:r>
      <w:r>
        <w:rPr>
          <w:rFonts w:hint="default" w:ascii="Times New Roman" w:hAnsi="Times New Roman" w:eastAsia="JansonTextLT-Roman" w:cs="Times New Roman"/>
          <w:color w:val="231F20"/>
          <w:kern w:val="0"/>
          <w:sz w:val="24"/>
          <w:szCs w:val="24"/>
          <w:lang w:val="en-US" w:eastAsia="zh-CN" w:bidi="ar"/>
        </w:rPr>
        <w:t xml:space="preserve">Based on the calculation method in parameter measurement, the relevant </w:t>
      </w:r>
      <w:r>
        <w:rPr>
          <w:rFonts w:hint="eastAsia" w:ascii="Times New Roman" w:hAnsi="Times New Roman" w:eastAsia="JansonTextLT-Roman" w:cs="Times New Roman"/>
          <w:color w:val="231F20"/>
          <w:kern w:val="0"/>
          <w:sz w:val="24"/>
          <w:szCs w:val="24"/>
          <w:lang w:val="en-US" w:eastAsia="zh-CN" w:bidi="ar"/>
        </w:rPr>
        <w:t>spino-pelvic</w:t>
      </w:r>
      <w:r>
        <w:rPr>
          <w:rFonts w:hint="default" w:ascii="Times New Roman" w:hAnsi="Times New Roman" w:eastAsia="JansonTextLT-Roman" w:cs="Times New Roman"/>
          <w:color w:val="231F20"/>
          <w:kern w:val="0"/>
          <w:sz w:val="24"/>
          <w:szCs w:val="24"/>
          <w:lang w:val="en-US" w:eastAsia="zh-CN" w:bidi="ar"/>
        </w:rPr>
        <w:t xml:space="preserve"> parameters were then calculated from the coordinates of the predicted landmarks, thus enabling automatic measurement.</w:t>
      </w:r>
    </w:p>
    <w:p w14:paraId="76E21073">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rPr>
        <w:t>To determine the Cobb angle, two vertebrae out of the 17 thoracic and lumbar vertebrae (12 thoracic and 5 lumbar) were randomly selected. From these vertebrae, the coordinates of the two corner points of the upper endplate of the upper vertebra were used to construct vector A, while the coordinates of the two corner points of the lower endplate of the lower vertebra were used to construct vector B. The angle between vector A and vector B was then calculated. In total, 136 combinations of any two vertebrae exist, and 136 angles were computed. The largest angle corresponds to the Cobb angle, with the two associated vertebrae identified as the upper and lower vertebrae</w:t>
      </w:r>
      <w:r>
        <w:rPr>
          <w:rFonts w:hint="default" w:ascii="Times New Roman" w:hAnsi="Times New Roman" w:cs="Times New Roman"/>
          <w:sz w:val="24"/>
          <w:szCs w:val="24"/>
        </w:rPr>
        <w:fldChar w:fldCharType="begin"/>
      </w:r>
      <w:r>
        <w:rPr>
          <w:rFonts w:hint="eastAsia" w:ascii="Times New Roman" w:hAnsi="Times New Roman" w:cs="Times New Roman"/>
          <w:sz w:val="24"/>
          <w:szCs w:val="24"/>
          <w:lang w:eastAsia="zh-CN"/>
        </w:rPr>
        <w:instrText xml:space="preserve"> ADDIN NE.Ref.{CCED7AAB-A154-4E80-88A6-1F065600E3D7}</w:instrText>
      </w:r>
      <w:r>
        <w:rPr>
          <w:rFonts w:hint="default" w:ascii="Times New Roman" w:hAnsi="Times New Roman" w:cs="Times New Roman"/>
          <w:sz w:val="24"/>
          <w:szCs w:val="24"/>
        </w:rPr>
        <w:fldChar w:fldCharType="separate"/>
      </w:r>
      <w:r>
        <w:rPr>
          <w:rFonts w:hint="eastAsia" w:ascii="宋体" w:hAnsi="宋体"/>
          <w:color w:val="080000"/>
          <w:sz w:val="21"/>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F</w:t>
      </w:r>
      <w:r>
        <w:rPr>
          <w:rFonts w:hint="default" w:ascii="Times New Roman" w:hAnsi="Times New Roman" w:cs="Times New Roman"/>
          <w:sz w:val="24"/>
          <w:szCs w:val="24"/>
        </w:rPr>
        <w:t>urthermore</w:t>
      </w:r>
      <w:r>
        <w:rPr>
          <w:rFonts w:hint="eastAsia" w:ascii="Times New Roman" w:hAnsi="Times New Roman" w:cs="Times New Roman"/>
          <w:sz w:val="24"/>
          <w:szCs w:val="24"/>
          <w:lang w:val="en-US" w:eastAsia="zh-CN"/>
        </w:rPr>
        <w:t>,t</w:t>
      </w:r>
      <w:r>
        <w:rPr>
          <w:rFonts w:hint="default" w:ascii="Times New Roman" w:hAnsi="Times New Roman" w:cs="Times New Roman"/>
          <w:sz w:val="24"/>
          <w:szCs w:val="24"/>
        </w:rPr>
        <w:t>he distance of the center of each vertebra from the center sacral vertical line was further calculated in this curvature range, and the largest was the apex vertebrae offset distance, and the corresponding vertebrae were the apex vertebrae. Based on the accurate identification of vertebrae, further automatic measurement of other spino-pelvic parameters in whole spine front is realized.</w:t>
      </w:r>
    </w:p>
    <w:p w14:paraId="66AA7763">
      <w:pPr>
        <w:rPr>
          <w:rFonts w:hint="eastAsia" w:ascii="Times New Roman" w:hAnsi="Times New Roman" w:eastAsia="宋体" w:cs="Times New Roman"/>
          <w:b/>
          <w:bCs/>
          <w:color w:val="auto"/>
          <w:kern w:val="2"/>
          <w:sz w:val="21"/>
          <w:szCs w:val="24"/>
          <w:shd w:val="clear" w:color="auto" w:fill="FFFFFF"/>
          <w:lang w:val="en-US" w:eastAsia="zh-CN" w:bidi="ar"/>
        </w:rPr>
      </w:pPr>
      <w:r>
        <w:rPr>
          <w:rFonts w:hint="eastAsia" w:ascii="Times New Roman" w:hAnsi="Times New Roman" w:eastAsia="宋体" w:cs="Times New Roman"/>
          <w:b/>
          <w:bCs/>
          <w:color w:val="auto"/>
          <w:kern w:val="2"/>
          <w:sz w:val="21"/>
          <w:szCs w:val="24"/>
          <w:shd w:val="clear" w:color="auto" w:fill="FFFFFF"/>
          <w:lang w:val="en-US" w:eastAsia="zh-CN" w:bidi="ar"/>
        </w:rPr>
        <w:br w:type="page"/>
      </w:r>
    </w:p>
    <w:p w14:paraId="7463CFB1">
      <w:pPr>
        <w:rPr>
          <w:rFonts w:hint="eastAsia" w:ascii="Times New Roman" w:hAnsi="Times New Roman" w:eastAsia="宋体" w:cs="Times New Roman"/>
          <w:color w:val="auto"/>
          <w:kern w:val="2"/>
          <w:sz w:val="21"/>
          <w:szCs w:val="24"/>
          <w:shd w:val="clear" w:color="auto" w:fill="FFFFFF"/>
          <w:lang w:val="en-US" w:eastAsia="zh-CN" w:bidi="ar"/>
        </w:rPr>
      </w:pPr>
      <w:r>
        <w:rPr>
          <w:rFonts w:hint="eastAsia" w:ascii="Times New Roman" w:hAnsi="Times New Roman" w:eastAsia="宋体" w:cs="Times New Roman"/>
          <w:b/>
          <w:bCs/>
          <w:color w:val="auto"/>
          <w:kern w:val="2"/>
          <w:sz w:val="21"/>
          <w:szCs w:val="24"/>
          <w:shd w:val="clear" w:color="auto" w:fill="FFFFFF"/>
          <w:lang w:val="en-US" w:eastAsia="zh-CN" w:bidi="ar"/>
        </w:rPr>
        <w:t>FIG S1</w:t>
      </w:r>
      <w:r>
        <w:rPr>
          <w:rFonts w:hint="eastAsia" w:ascii="Times New Roman" w:hAnsi="Times New Roman" w:cs="Times New Roman"/>
          <w:b/>
          <w:bCs/>
          <w:color w:val="auto"/>
          <w:kern w:val="2"/>
          <w:sz w:val="21"/>
          <w:szCs w:val="24"/>
          <w:shd w:val="clear" w:color="auto" w:fill="FFFFFF"/>
          <w:lang w:val="en-US" w:eastAsia="zh-CN" w:bidi="ar"/>
        </w:rPr>
        <w:t>.</w:t>
      </w:r>
      <w:r>
        <w:rPr>
          <w:rFonts w:hint="eastAsia" w:ascii="Times New Roman" w:hAnsi="Times New Roman" w:eastAsia="宋体" w:cs="Times New Roman"/>
          <w:color w:val="auto"/>
          <w:kern w:val="2"/>
          <w:sz w:val="21"/>
          <w:szCs w:val="24"/>
          <w:shd w:val="clear" w:color="auto" w:fill="FFFFFF"/>
          <w:lang w:val="en-US" w:eastAsia="zh-CN" w:bidi="ar"/>
        </w:rPr>
        <w:t>Whole spine frontal model VF-NET Network</w:t>
      </w:r>
      <w:r>
        <w:rPr>
          <w:rFonts w:hint="eastAsia" w:ascii="Times New Roman" w:hAnsi="Times New Roman" w:eastAsia="宋体" w:cs="Times New Roman"/>
          <w:color w:val="auto"/>
          <w:kern w:val="2"/>
          <w:sz w:val="21"/>
          <w:szCs w:val="24"/>
          <w:shd w:val="clear" w:color="auto" w:fill="FFFFFF"/>
          <w:lang w:val="en-US" w:eastAsia="zh-CN" w:bidi="ar"/>
        </w:rPr>
        <w:fldChar w:fldCharType="begin"/>
      </w:r>
      <w:r>
        <w:rPr>
          <w:rFonts w:hint="eastAsia" w:ascii="Times New Roman" w:hAnsi="Times New Roman" w:cs="Times New Roman"/>
          <w:color w:val="auto"/>
          <w:kern w:val="2"/>
          <w:sz w:val="21"/>
          <w:szCs w:val="24"/>
          <w:shd w:val="clear" w:color="auto" w:fill="FFFFFF"/>
          <w:lang w:val="en-US" w:eastAsia="zh-CN" w:bidi="ar"/>
        </w:rPr>
        <w:instrText xml:space="preserve"> ADDIN NE.Ref.{BBF298CB-6EBF-43B8-8331-F1AD99FA9D2A}</w:instrText>
      </w:r>
      <w:r>
        <w:rPr>
          <w:rFonts w:hint="eastAsia" w:ascii="Times New Roman" w:hAnsi="Times New Roman" w:eastAsia="宋体" w:cs="Times New Roman"/>
          <w:color w:val="auto"/>
          <w:kern w:val="2"/>
          <w:sz w:val="21"/>
          <w:szCs w:val="24"/>
          <w:shd w:val="clear" w:color="auto" w:fill="FFFFFF"/>
          <w:lang w:val="en-US" w:eastAsia="zh-CN" w:bidi="ar"/>
        </w:rPr>
        <w:fldChar w:fldCharType="separate"/>
      </w:r>
      <w:r>
        <w:rPr>
          <w:rFonts w:hint="eastAsia" w:ascii="宋体" w:hAnsi="宋体"/>
          <w:color w:val="080000"/>
          <w:sz w:val="21"/>
          <w:szCs w:val="24"/>
        </w:rPr>
        <w:t>[3]</w:t>
      </w:r>
      <w:r>
        <w:rPr>
          <w:rFonts w:hint="eastAsia" w:ascii="Times New Roman" w:hAnsi="Times New Roman" w:eastAsia="宋体" w:cs="Times New Roman"/>
          <w:color w:val="auto"/>
          <w:kern w:val="2"/>
          <w:sz w:val="21"/>
          <w:szCs w:val="24"/>
          <w:shd w:val="clear" w:color="auto" w:fill="FFFFFF"/>
          <w:lang w:val="en-US" w:eastAsia="zh-CN" w:bidi="ar"/>
        </w:rPr>
        <w:fldChar w:fldCharType="end"/>
      </w:r>
    </w:p>
    <w:p w14:paraId="61B6EEB5">
      <w:pPr>
        <w:spacing w:line="360" w:lineRule="auto"/>
        <w:rPr>
          <w:rFonts w:hint="eastAsia" w:ascii="Times New Roman" w:hAnsi="Times New Roman" w:eastAsia="宋体" w:cs="Times New Roman"/>
          <w:color w:val="auto"/>
          <w:kern w:val="2"/>
          <w:sz w:val="21"/>
          <w:szCs w:val="24"/>
          <w:shd w:val="clear" w:color="auto" w:fill="FFFFFF"/>
          <w:lang w:val="en-US" w:eastAsia="zh-CN" w:bidi="ar"/>
        </w:rPr>
      </w:pPr>
      <w:r>
        <w:rPr>
          <w:rFonts w:hint="eastAsia" w:ascii="Times New Roman" w:hAnsi="Times New Roman" w:eastAsia="宋体" w:cs="Times New Roman"/>
          <w:color w:val="auto"/>
          <w:kern w:val="2"/>
          <w:sz w:val="21"/>
          <w:szCs w:val="24"/>
          <w:shd w:val="clear" w:color="auto" w:fill="FFFFFF"/>
          <w:lang w:val="en-US" w:eastAsia="zh-CN" w:bidi="ar"/>
        </w:rPr>
        <w:drawing>
          <wp:inline distT="0" distB="0" distL="114300" distR="114300">
            <wp:extent cx="5471795" cy="3282950"/>
            <wp:effectExtent l="0" t="0" r="1270" b="9525"/>
            <wp:docPr id="3" name="图片 8" descr="FIG 3Whole spine frontal model VF-NE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FIG 3Whole spine frontal model VF-NET Network"/>
                    <pic:cNvPicPr>
                      <a:picLocks noChangeAspect="1"/>
                    </pic:cNvPicPr>
                  </pic:nvPicPr>
                  <pic:blipFill>
                    <a:blip r:embed="rId6"/>
                    <a:stretch>
                      <a:fillRect/>
                    </a:stretch>
                  </pic:blipFill>
                  <pic:spPr>
                    <a:xfrm>
                      <a:off x="0" y="0"/>
                      <a:ext cx="5471795" cy="3282950"/>
                    </a:xfrm>
                    <a:prstGeom prst="rect">
                      <a:avLst/>
                    </a:prstGeom>
                    <a:noFill/>
                    <a:ln>
                      <a:noFill/>
                    </a:ln>
                  </pic:spPr>
                </pic:pic>
              </a:graphicData>
            </a:graphic>
          </wp:inline>
        </w:drawing>
      </w:r>
    </w:p>
    <w:p w14:paraId="66FE9000">
      <w:pPr>
        <w:spacing w:line="360" w:lineRule="auto"/>
        <w:rPr>
          <w:rFonts w:hint="eastAsia" w:ascii="Times New Roman" w:hAnsi="Times New Roman" w:eastAsia="宋体" w:cs="Times New Roman"/>
          <w:color w:val="auto"/>
          <w:kern w:val="2"/>
          <w:sz w:val="21"/>
          <w:szCs w:val="24"/>
          <w:shd w:val="clear" w:color="auto" w:fill="FFFFFF"/>
          <w:lang w:val="en-US" w:eastAsia="zh-CN" w:bidi="ar"/>
        </w:rPr>
      </w:pPr>
    </w:p>
    <w:p w14:paraId="48199F9A">
      <w:pPr>
        <w:spacing w:line="360" w:lineRule="auto"/>
        <w:rPr>
          <w:rFonts w:hint="eastAsia" w:ascii="Times New Roman" w:hAnsi="Times New Roman" w:eastAsia="宋体" w:cs="Times New Roman"/>
          <w:color w:val="auto"/>
          <w:kern w:val="2"/>
          <w:sz w:val="21"/>
          <w:szCs w:val="24"/>
          <w:shd w:val="clear" w:color="auto" w:fill="FFFFFF"/>
          <w:lang w:val="en-US" w:eastAsia="zh-CN" w:bidi="ar"/>
        </w:rPr>
      </w:pPr>
    </w:p>
    <w:p w14:paraId="6F014168">
      <w:pPr>
        <w:rPr>
          <w:rFonts w:hint="default" w:ascii="Times New Roman" w:hAnsi="Times New Roman" w:cs="Times New Roman"/>
          <w:sz w:val="24"/>
          <w:szCs w:val="24"/>
        </w:rPr>
      </w:pPr>
      <w:r>
        <w:rPr>
          <w:rFonts w:hint="default" w:ascii="Times New Roman" w:hAnsi="Times New Roman" w:cs="Times New Roman"/>
          <w:sz w:val="24"/>
          <w:szCs w:val="24"/>
        </w:rPr>
        <w:br w:type="page"/>
      </w:r>
    </w:p>
    <w:p w14:paraId="3D559CF1">
      <w:pPr>
        <w:rPr>
          <w:rFonts w:hint="eastAsia" w:ascii="Times New Roman" w:hAnsi="Times New Roman" w:eastAsia="宋体" w:cs="Times New Roman"/>
          <w:color w:val="auto"/>
          <w:kern w:val="2"/>
          <w:sz w:val="21"/>
          <w:szCs w:val="24"/>
          <w:shd w:val="clear" w:color="auto" w:fill="FFFFFF"/>
          <w:lang w:val="en-US" w:eastAsia="zh-CN" w:bidi="ar"/>
        </w:rPr>
      </w:pPr>
      <w:r>
        <w:rPr>
          <w:rFonts w:hint="default" w:ascii="Times New Roman" w:hAnsi="Times New Roman" w:cs="Times New Roman"/>
          <w:sz w:val="24"/>
          <w:szCs w:val="24"/>
        </w:rPr>
        <w:t xml:space="preserve">Figure </w:t>
      </w:r>
      <w:r>
        <w:rPr>
          <w:rFonts w:hint="eastAsia" w:ascii="Times New Roman" w:hAnsi="Times New Roman" w:cs="Times New Roman"/>
          <w:sz w:val="24"/>
          <w:szCs w:val="24"/>
          <w:lang w:val="en-US" w:eastAsia="zh-CN"/>
        </w:rPr>
        <w:t>S2.</w:t>
      </w:r>
      <w:r>
        <w:rPr>
          <w:rFonts w:hint="eastAsia" w:ascii="Times New Roman" w:hAnsi="Times New Roman" w:eastAsia="宋体" w:cs="Times New Roman"/>
          <w:color w:val="auto"/>
          <w:kern w:val="2"/>
          <w:sz w:val="21"/>
          <w:szCs w:val="24"/>
          <w:shd w:val="clear" w:color="auto" w:fill="FFFFFF"/>
          <w:lang w:val="en-US" w:eastAsia="zh-CN" w:bidi="ar"/>
        </w:rPr>
        <w:t>Visual Comparison of Model Detection Key points with Reference Standards</w:t>
      </w:r>
    </w:p>
    <w:p w14:paraId="3A5B8A72">
      <w:pPr>
        <w:spacing w:beforeLines="0" w:afterLines="0"/>
        <w:jc w:val="left"/>
        <w:rPr>
          <w:rFonts w:hint="default"/>
          <w:sz w:val="24"/>
          <w:szCs w:val="24"/>
        </w:rPr>
      </w:pPr>
      <w:r>
        <w:rPr>
          <w:rFonts w:hint="eastAsia" w:ascii="Times New Roman" w:hAnsi="Times New Roman" w:eastAsia="宋体" w:cs="Times New Roman"/>
          <w:color w:val="auto"/>
          <w:kern w:val="2"/>
          <w:sz w:val="21"/>
          <w:szCs w:val="24"/>
          <w:shd w:val="clear" w:color="auto" w:fill="FFFFFF"/>
          <w:lang w:val="en-US" w:eastAsia="zh-CN" w:bidi="ar"/>
        </w:rPr>
        <w:drawing>
          <wp:inline distT="0" distB="0" distL="114300" distR="114300">
            <wp:extent cx="5480050" cy="6802120"/>
            <wp:effectExtent l="0" t="0" r="3810" b="9525"/>
            <wp:docPr id="4" name="图片 9" descr="FIG7 Visual Comparison of Model Detection Key points with Referenc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FIG7 Visual Comparison of Model Detection Key points with Reference Standards"/>
                    <pic:cNvPicPr>
                      <a:picLocks noChangeAspect="1"/>
                    </pic:cNvPicPr>
                  </pic:nvPicPr>
                  <pic:blipFill>
                    <a:blip r:embed="rId7"/>
                    <a:stretch>
                      <a:fillRect/>
                    </a:stretch>
                  </pic:blipFill>
                  <pic:spPr>
                    <a:xfrm>
                      <a:off x="0" y="0"/>
                      <a:ext cx="5480050" cy="6802120"/>
                    </a:xfrm>
                    <a:prstGeom prst="rect">
                      <a:avLst/>
                    </a:prstGeom>
                    <a:noFill/>
                    <a:ln>
                      <a:noFill/>
                    </a:ln>
                  </pic:spPr>
                </pic:pic>
              </a:graphicData>
            </a:graphic>
          </wp:inline>
        </w:drawing>
      </w:r>
      <w:r>
        <w:rPr>
          <w:rFonts w:hint="default" w:ascii="Times New Roman" w:hAnsi="Times New Roman" w:eastAsia="宋体" w:cs="Times New Roman"/>
          <w:color w:val="auto"/>
          <w:kern w:val="2"/>
          <w:sz w:val="21"/>
          <w:szCs w:val="24"/>
          <w:shd w:val="clear" w:color="auto" w:fill="FFFFFF"/>
          <w:lang w:val="en-US" w:eastAsia="zh-CN" w:bidi="ar"/>
        </w:rPr>
        <w:fldChar w:fldCharType="begin"/>
      </w:r>
      <w:r>
        <w:rPr>
          <w:rFonts w:hint="eastAsia" w:ascii="Times New Roman" w:hAnsi="Times New Roman" w:eastAsia="宋体" w:cs="Times New Roman"/>
          <w:color w:val="auto"/>
          <w:kern w:val="2"/>
          <w:sz w:val="21"/>
          <w:szCs w:val="24"/>
          <w:shd w:val="clear" w:color="auto" w:fill="FFFFFF"/>
          <w:lang w:val="en-US" w:eastAsia="zh-CN" w:bidi="ar"/>
        </w:rPr>
        <w:instrText xml:space="preserve"> ADDIN NE.Rep</w:instrText>
      </w:r>
      <w:r>
        <w:rPr>
          <w:rFonts w:hint="default" w:ascii="Times New Roman" w:hAnsi="Times New Roman" w:eastAsia="宋体" w:cs="Times New Roman"/>
          <w:color w:val="auto"/>
          <w:kern w:val="2"/>
          <w:sz w:val="21"/>
          <w:szCs w:val="24"/>
          <w:shd w:val="clear" w:color="auto" w:fill="FFFFFF"/>
          <w:lang w:val="en-US" w:eastAsia="zh-CN" w:bidi="ar"/>
        </w:rPr>
        <w:fldChar w:fldCharType="separate"/>
      </w:r>
    </w:p>
    <w:p w14:paraId="6F648F2E">
      <w:pPr>
        <w:spacing w:beforeLines="0" w:afterLines="0"/>
        <w:jc w:val="left"/>
        <w:rPr>
          <w:rFonts w:hint="default"/>
          <w:sz w:val="24"/>
          <w:szCs w:val="24"/>
        </w:rPr>
      </w:pPr>
      <w:r>
        <w:rPr>
          <w:rFonts w:hint="default" w:ascii="Times New Roman" w:hAnsi="Times New Roman" w:eastAsia="宋体" w:cs="Times New Roman"/>
          <w:color w:val="auto"/>
          <w:kern w:val="2"/>
          <w:sz w:val="21"/>
          <w:szCs w:val="24"/>
          <w:shd w:val="clear" w:color="auto" w:fill="FFFFFF"/>
          <w:lang w:val="en-US" w:eastAsia="zh-CN" w:bidi="ar"/>
        </w:rPr>
        <w:fldChar w:fldCharType="end"/>
      </w:r>
      <w:r>
        <w:rPr>
          <w:rFonts w:hint="default" w:ascii="Times New Roman" w:hAnsi="Times New Roman" w:eastAsia="宋体" w:cs="Times New Roman"/>
          <w:color w:val="auto"/>
          <w:kern w:val="2"/>
          <w:sz w:val="21"/>
          <w:szCs w:val="24"/>
          <w:shd w:val="clear" w:color="auto" w:fill="FFFFFF"/>
          <w:lang w:val="en-US" w:eastAsia="zh-CN" w:bidi="ar"/>
        </w:rPr>
        <w:fldChar w:fldCharType="begin"/>
      </w:r>
      <w:r>
        <w:rPr>
          <w:rFonts w:hint="eastAsia" w:ascii="Times New Roman" w:hAnsi="Times New Roman" w:eastAsia="宋体" w:cs="Times New Roman"/>
          <w:color w:val="auto"/>
          <w:kern w:val="2"/>
          <w:sz w:val="21"/>
          <w:szCs w:val="24"/>
          <w:shd w:val="clear" w:color="auto" w:fill="FFFFFF"/>
          <w:lang w:val="en-US" w:eastAsia="zh-CN" w:bidi="ar"/>
        </w:rPr>
        <w:instrText xml:space="preserve"> ADDIN NE.Bib</w:instrText>
      </w:r>
      <w:r>
        <w:rPr>
          <w:rFonts w:hint="default" w:ascii="Times New Roman" w:hAnsi="Times New Roman" w:eastAsia="宋体" w:cs="Times New Roman"/>
          <w:color w:val="auto"/>
          <w:kern w:val="2"/>
          <w:sz w:val="21"/>
          <w:szCs w:val="24"/>
          <w:shd w:val="clear" w:color="auto" w:fill="FFFFFF"/>
          <w:lang w:val="en-US" w:eastAsia="zh-CN" w:bidi="ar"/>
        </w:rPr>
        <w:fldChar w:fldCharType="separate"/>
      </w:r>
    </w:p>
    <w:p w14:paraId="6B13AACA">
      <w:pPr>
        <w:spacing w:beforeLines="0" w:afterLines="0"/>
        <w:jc w:val="center"/>
        <w:rPr>
          <w:rFonts w:hint="default"/>
          <w:sz w:val="24"/>
          <w:szCs w:val="24"/>
        </w:rPr>
      </w:pPr>
      <w:r>
        <w:rPr>
          <w:rFonts w:hint="default" w:ascii="Times New Roman" w:hAnsi="Times New Roman" w:eastAsia="Times New Roman"/>
          <w:b/>
          <w:color w:val="000000"/>
          <w:sz w:val="40"/>
          <w:szCs w:val="24"/>
        </w:rPr>
        <w:t>References:</w:t>
      </w:r>
    </w:p>
    <w:p w14:paraId="354CB316">
      <w:pPr>
        <w:spacing w:beforeLines="0" w:afterLines="0"/>
        <w:rPr>
          <w:rFonts w:hint="default"/>
          <w:sz w:val="24"/>
          <w:szCs w:val="24"/>
        </w:rPr>
      </w:pPr>
      <w:r>
        <w:rPr>
          <w:rFonts w:hint="default" w:ascii="Times New Roman" w:hAnsi="Times New Roman" w:eastAsia="Times New Roman"/>
          <w:color w:val="000000"/>
          <w:sz w:val="20"/>
          <w:szCs w:val="24"/>
        </w:rPr>
        <w:t xml:space="preserve">1. </w:t>
      </w:r>
      <w:bookmarkStart w:id="1" w:name="_nebDB657413_DB3B_4C17_B9C2_FCBDE1C317D4"/>
      <w:r>
        <w:rPr>
          <w:rFonts w:hint="default" w:ascii="Times New Roman" w:hAnsi="Times New Roman" w:eastAsia="Times New Roman"/>
          <w:color w:val="000000"/>
          <w:sz w:val="20"/>
          <w:szCs w:val="24"/>
        </w:rPr>
        <w:t>Szegedy C, Vanhoucke V, Ioffe S, Shlens J, Wojna Z (2016) Rethinking the Inception Architecture for Computer Vision. IEEE:2818-2826</w:t>
      </w:r>
      <w:bookmarkEnd w:id="1"/>
    </w:p>
    <w:p w14:paraId="0DA4798D">
      <w:pPr>
        <w:spacing w:beforeLines="0" w:afterLines="0"/>
        <w:rPr>
          <w:rFonts w:hint="default"/>
          <w:sz w:val="24"/>
          <w:szCs w:val="24"/>
        </w:rPr>
      </w:pPr>
      <w:r>
        <w:rPr>
          <w:rFonts w:hint="default" w:ascii="Times New Roman" w:hAnsi="Times New Roman" w:eastAsia="Times New Roman"/>
          <w:color w:val="000000"/>
          <w:sz w:val="20"/>
          <w:szCs w:val="24"/>
        </w:rPr>
        <w:t xml:space="preserve">2. </w:t>
      </w:r>
      <w:bookmarkStart w:id="2" w:name="_neb702B83EC_87ED_4F31_AE5F_39430E98F1B1"/>
      <w:r>
        <w:rPr>
          <w:rFonts w:hint="default" w:ascii="Times New Roman" w:hAnsi="Times New Roman" w:eastAsia="Times New Roman"/>
          <w:color w:val="000000"/>
          <w:sz w:val="20"/>
          <w:szCs w:val="24"/>
        </w:rPr>
        <w:t>Sun Y, Xing YZ, Zhao ZA, Meng X, Xu G, Hai Y (2022) Comparison of manual versus automated measurement of Cobb angle in idiopathic scoliosis based on a deep learning keypoint detection technology. EUR SPINE J 31:1969-1978. 10.1007/s00586-021-07025-6*10.1007/s00586-021-07025-6</w:t>
      </w:r>
      <w:bookmarkEnd w:id="2"/>
    </w:p>
    <w:p w14:paraId="39069C63">
      <w:pPr>
        <w:spacing w:beforeLines="0" w:afterLines="0"/>
        <w:rPr>
          <w:rFonts w:hint="default"/>
          <w:sz w:val="24"/>
          <w:szCs w:val="24"/>
        </w:rPr>
      </w:pPr>
      <w:r>
        <w:rPr>
          <w:rFonts w:hint="default" w:ascii="Times New Roman" w:hAnsi="Times New Roman" w:eastAsia="Times New Roman"/>
          <w:color w:val="000000"/>
          <w:sz w:val="20"/>
          <w:szCs w:val="24"/>
        </w:rPr>
        <w:t xml:space="preserve">3. </w:t>
      </w:r>
      <w:bookmarkStart w:id="3" w:name="_nebCA9B6EAA_D467_4FB1_AD09_F7710F7F4D92"/>
      <w:r>
        <w:rPr>
          <w:rFonts w:hint="default" w:ascii="Times New Roman" w:hAnsi="Times New Roman" w:eastAsia="Times New Roman"/>
          <w:color w:val="000000"/>
          <w:sz w:val="20"/>
          <w:szCs w:val="24"/>
        </w:rPr>
        <w:t>Yi JR, Wu PX, Huang QY, Hui Q (2020) VERTEBRA-FOCUSED LANDMARK DETECTION FOR SCOLIOSIS ASSESSMENT. In. Rutgers University, Piscataway.</w:t>
      </w:r>
      <w:bookmarkEnd w:id="3"/>
    </w:p>
    <w:p w14:paraId="4598C4F7">
      <w:pPr>
        <w:spacing w:line="360" w:lineRule="auto"/>
        <w:rPr>
          <w:rFonts w:hint="default" w:ascii="Times New Roman" w:hAnsi="Times New Roman" w:eastAsia="宋体" w:cs="Times New Roman"/>
          <w:color w:val="auto"/>
          <w:kern w:val="2"/>
          <w:sz w:val="21"/>
          <w:szCs w:val="24"/>
          <w:shd w:val="clear" w:color="auto" w:fill="FFFFFF"/>
          <w:lang w:val="en-US" w:eastAsia="zh-CN" w:bidi="ar"/>
        </w:rPr>
      </w:pPr>
      <w:r>
        <w:rPr>
          <w:rFonts w:hint="default" w:ascii="Times New Roman" w:hAnsi="Times New Roman" w:eastAsia="宋体" w:cs="Times New Roman"/>
          <w:color w:val="auto"/>
          <w:kern w:val="2"/>
          <w:sz w:val="21"/>
          <w:szCs w:val="24"/>
          <w:shd w:val="clear" w:color="auto" w:fill="FFFFFF"/>
          <w:lang w:val="en-US" w:eastAsia="zh-CN" w:bidi="ar"/>
        </w:rPr>
        <w:fldChar w:fldCharType="end"/>
      </w: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JansonTextLT-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Janson Text LT">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63CBA3"/>
    <w:multiLevelType w:val="singleLevel"/>
    <w:tmpl w:val="6A63CBA3"/>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BBF298CB-6EBF-43B8-8331-F1AD99FA9D2A}" w:val=" ADDIN NE.Ref.{BBF298CB-6EBF-43B8-8331-F1AD99FA9D2A}&lt;Citation&gt;&lt;Group&gt;&lt;References&gt;&lt;Item&gt;&lt;ID&gt;679&lt;/ID&gt;&lt;UID&gt;{CA9B6EAA-D467-4FB1-AD09-F7710F7F4D92}&lt;/UID&gt;&lt;Title&gt;VERTEBRA-FOCUSED LANDMARK DETECTION FOR SCOLIOSIS ASSESSMENT&lt;/Title&gt;&lt;Template&gt;Thesis&lt;/Template&gt;&lt;Star&gt;0&lt;/Star&gt;&lt;Tag&gt;0&lt;/Tag&gt;&lt;Author&gt;Yi, Jing Ru; Wu, Peng Xiang; Huang, Qiao Ying; Hui, Qu&lt;/Author&gt;&lt;Year&gt;2020&lt;/Year&gt;&lt;Details&gt;&lt;_accessed&gt;65261801&lt;/_accessed&gt;&lt;_created&gt;65002299&lt;/_created&gt;&lt;_journal&gt;arXiv:2001.03187v1 [eess.IV] 9 Jan 2020&lt;/_journal&gt;&lt;_modified&gt;65261801&lt;/_modified&gt;&lt;_place_published&gt;Piscataway&lt;/_place_published&gt;&lt;_publisher&gt;Rutgers University&lt;/_publisher&gt;&lt;_section&gt;Department of Computer Science&lt;/_section&gt;&lt;_url&gt;arXiv:2001.03187v1 [eess.IV] 9 Jan 2020&lt;/_url&gt;&lt;/Details&gt;&lt;Extra&gt;&lt;DBUID&gt;{DEBC6E5F-3F53-4F54-AC21-14205E005ACF}&lt;/DBUID&gt;&lt;/Extra&gt;&lt;/Item&gt;&lt;/References&gt;&lt;/Group&gt;&lt;/Citation&gt;_x000a_"/>
    <w:docVar w:name="NE.Ref{CCED7AAB-A154-4E80-88A6-1F065600E3D7}" w:val=" ADDIN NE.Ref.{CCED7AAB-A154-4E80-88A6-1F065600E3D7}&lt;Citation&gt;&lt;Group&gt;&lt;References&gt;&lt;Item&gt;&lt;ID&gt;701&lt;/ID&gt;&lt;UID&gt;{702B83EC-87ED-4F31-AE5F-39430E98F1B1}&lt;/UID&gt;&lt;Title&gt;Comparison of manual versus automated measurement of Cobb angle in idiopathic scoliosis based on a deep learning keypoint detection technology&lt;/Title&gt;&lt;Template&gt;Journal Article&lt;/Template&gt;&lt;Star&gt;0&lt;/Star&gt;&lt;Tag&gt;0&lt;/Tag&gt;&lt;Author&gt;Sun, Yu; Xing, Yao Zhong; Zhao, Zi An; Meng, Xianglong; Xu, Gang; Hai, Yong&lt;/Author&gt;&lt;Year&gt;2022&lt;/Year&gt;&lt;Details&gt;&lt;_accessed&gt;65261769&lt;/_accessed&gt;&lt;_collection_scope&gt;SCIE&lt;/_collection_scope&gt;&lt;_created&gt;65261767&lt;/_created&gt;&lt;_db_updated&gt;CrossRef&lt;/_db_updated&gt;&lt;_doi&gt;10.1007/s00586-021-07025-6&lt;/_doi&gt;&lt;_impact_factor&gt;   2.721&lt;/_impact_factor&gt;&lt;_isbn&gt;0940-6719&lt;/_isbn&gt;&lt;_issue&gt;8&lt;/_issue&gt;&lt;_journal&gt;European Spine Journal&lt;/_journal&gt;&lt;_modified&gt;65261770&lt;/_modified&gt;&lt;_pages&gt;1969-1978&lt;/_pages&gt;&lt;_social_category&gt;医学(3)&lt;/_social_category&gt;&lt;_tertiary_title&gt;Eur Spine J&lt;/_tertiary_title&gt;&lt;_url&gt;https://link.springer.com/10.1007/s00586-021-07025-6_x000d__x000a_https://link.springer.com/content/pdf/10.1007/s00586-021-07025-6.pdf&lt;/_url&gt;&lt;_volume&gt;31&lt;/_volume&gt;&lt;/Details&gt;&lt;Extra&gt;&lt;DBUID&gt;{DEBC6E5F-3F53-4F54-AC21-14205E005ACF}&lt;/DBUID&gt;&lt;/Extra&gt;&lt;/Item&gt;&lt;/References&gt;&lt;/Group&gt;&lt;/Citation&gt;_x000a_"/>
    <w:docVar w:name="NE.Ref{F8BDB2AC-BA80-4F59-985C-53A65AB4C3EA}" w:val=" ADDIN NE.Ref.{F8BDB2AC-BA80-4F59-985C-53A65AB4C3EA}&lt;Citation&gt;&lt;Group&gt;&lt;References&gt;&lt;Item&gt;&lt;ID&gt;300&lt;/ID&gt;&lt;UID&gt;{DB657413-DB3B-4C17-B9C2-FCBDE1C317D4}&lt;/UID&gt;&lt;Title&gt;Rethinking the Inception Architecture for Computer Vision&lt;/Title&gt;&lt;Template&gt;Journal Article&lt;/Template&gt;&lt;Star&gt;0&lt;/Star&gt;&lt;Tag&gt;0&lt;/Tag&gt;&lt;Author&gt;Szegedy, C; Vanhoucke, V; Ioffe, S; Shlens, J; Wojna, Z&lt;/Author&gt;&lt;Year&gt;2016&lt;/Year&gt;&lt;Details&gt;&lt;_created&gt;64310291&lt;/_created&gt;&lt;_journal&gt;IEEE&lt;/_journal&gt;&lt;_modified&gt;64310291&lt;/_modified&gt;&lt;_pages&gt;2818-2826&lt;/_pages&gt;&lt;/Details&gt;&lt;Extra&gt;&lt;DBUID&gt;{DEBC6E5F-3F53-4F54-AC21-14205E005ACF}&lt;/DBUID&gt;&lt;/Extra&gt;&lt;/Item&gt;&lt;/References&gt;&lt;/Group&gt;&lt;/Citation&gt;_x000a_"/>
    <w:docVar w:name="ne_docsoft" w:val="MSWord"/>
    <w:docVar w:name="ne_docversion" w:val="NoteExpress 2.0"/>
    <w:docVar w:name="ne_stylename" w:val="Euro Spine J"/>
  </w:docVars>
  <w:rsids>
    <w:rsidRoot w:val="00172A27"/>
    <w:rsid w:val="477F2694"/>
    <w:rsid w:val="49EB4734"/>
    <w:rsid w:val="6E8101FE"/>
    <w:rsid w:val="756126D3"/>
    <w:rsid w:val="763F6514"/>
    <w:rsid w:val="76515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895</Words>
  <Characters>5149</Characters>
  <Lines>0</Lines>
  <Paragraphs>0</Paragraphs>
  <TotalTime>1</TotalTime>
  <ScaleCrop>false</ScaleCrop>
  <LinksUpToDate>false</LinksUpToDate>
  <CharactersWithSpaces>6015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2025-02-12T08:43:00Z</dcterms:created>
  <dc:creator>陈真真</dc:creator>
  <cp:lastModifiedBy>陈至真</cp:lastModifiedBy>
  <dcterms:modified xsi:type="dcterms:W3CDTF">2025-02-19T22:14:09Z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eyJoZGlkIjoiNjI1YmU4ZmI0YmM2YjcxMWY1MTA3ZmQ0ODYxNjBmYjkiLCJ1c2VySWQiOiIzMzY2MTI2NDUifQ==</vt:lpwstr>
  </property>
  <property fmtid="{D5CDD505-2E9C-101B-9397-08002B2CF9AE}" pid="4" name="ICV">
    <vt:lpwstr>9DD86C2C53244A749D3A626F15BDEDC4_12</vt:lpwstr>
  </property>
</Properties>
</file>