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18D4B" w14:textId="77777777" w:rsidR="008A3F03" w:rsidRPr="00761613" w:rsidRDefault="008A3F03" w:rsidP="008A3F03">
      <w:pPr>
        <w:pStyle w:val="Heading1"/>
        <w:ind w:left="708" w:hanging="708"/>
      </w:pPr>
      <w:r>
        <w:t>Additional Information</w:t>
      </w:r>
    </w:p>
    <w:p w14:paraId="054644C6" w14:textId="77777777" w:rsidR="008A3F03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>Table S1. Overview of participant characteristics, related to Figure 1.</w:t>
      </w:r>
    </w:p>
    <w:p w14:paraId="73C92130" w14:textId="77777777" w:rsidR="008A3F03" w:rsidRPr="002B52EF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>Table S2. Immune cell counts from flow cytometry analysis, related to Figure 1 and S1</w:t>
      </w:r>
    </w:p>
    <w:p w14:paraId="060B36A9" w14:textId="77777777" w:rsidR="008A3F03" w:rsidRPr="002B52EF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>Table S3. Detailed statistical results from analysis of exercise-induced changes in immune cell counts, related to Figure S1.</w:t>
      </w:r>
    </w:p>
    <w:p w14:paraId="773CAD8F" w14:textId="77777777" w:rsidR="008A3F03" w:rsidRPr="002B52EF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>Table S4. Lymphocyte proportions, related to Figure 1.</w:t>
      </w:r>
    </w:p>
    <w:p w14:paraId="6DDB41AE" w14:textId="77777777" w:rsidR="008A3F03" w:rsidRPr="002B52EF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>Table S5. Detailed statistical results from analysis of exercise-induced changes in protein abundance of PBMCs, related to Figure 2 and 3.</w:t>
      </w:r>
    </w:p>
    <w:p w14:paraId="0F739E6F" w14:textId="77777777" w:rsidR="008A3F03" w:rsidRPr="002B52EF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>Table S6. Detailed results of Gene ontology over-representation analysis, related to Figure 3.</w:t>
      </w:r>
    </w:p>
    <w:p w14:paraId="6191C34B" w14:textId="77777777" w:rsidR="008A3F03" w:rsidRPr="002B52EF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>Table S7. Membership values and fold changes from baseline of all proteins used for fuzzy c-means clustering, related to Figure 4.</w:t>
      </w:r>
    </w:p>
    <w:p w14:paraId="2FFDEC37" w14:textId="77777777" w:rsidR="008A3F03" w:rsidRPr="002B52EF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>Table S8. Detailed results of biological theme comparison, related to Figure S3.</w:t>
      </w:r>
    </w:p>
    <w:p w14:paraId="3B5BB6E6" w14:textId="77777777" w:rsidR="008A3F03" w:rsidRPr="002B52EF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>Table S9. Detailed results of all Gene ontology gene set enrichment analyses, related to Figure 4, and S4.</w:t>
      </w:r>
    </w:p>
    <w:p w14:paraId="488462E1" w14:textId="77777777" w:rsidR="008A3F03" w:rsidRPr="00C54ED5" w:rsidRDefault="008A3F03" w:rsidP="008A3F03">
      <w:pPr>
        <w:ind w:left="708" w:hanging="708"/>
        <w:rPr>
          <w:rStyle w:val="Heading2Char1"/>
          <w:b w:val="0"/>
          <w:bCs/>
          <w:lang w:val="en-US"/>
        </w:rPr>
      </w:pPr>
      <w:r>
        <w:rPr>
          <w:rStyle w:val="Heading2Char1"/>
          <w:bCs/>
          <w:lang w:val="en-US"/>
        </w:rPr>
        <w:t xml:space="preserve">Table S10. Detailed results of </w:t>
      </w:r>
      <w:r>
        <w:rPr>
          <w:lang w:val="en-US"/>
        </w:rPr>
        <w:t>V̇O</w:t>
      </w:r>
      <w:r w:rsidRPr="001F2449">
        <w:rPr>
          <w:vertAlign w:val="subscript"/>
          <w:lang w:val="en-US"/>
        </w:rPr>
        <w:t>2peak</w:t>
      </w:r>
      <w:r>
        <w:rPr>
          <w:lang w:val="en-US"/>
        </w:rPr>
        <w:t xml:space="preserve"> prediction, related to Figure 5.</w:t>
      </w:r>
    </w:p>
    <w:p w14:paraId="19D23CF7" w14:textId="77777777" w:rsidR="008A3F03" w:rsidRPr="00F5084B" w:rsidRDefault="008A3F03" w:rsidP="008A3F03">
      <w:pPr>
        <w:pStyle w:val="Heading1"/>
        <w:rPr>
          <w:lang w:val="en-CA"/>
        </w:rPr>
      </w:pPr>
      <w:r w:rsidRPr="00F5084B">
        <w:rPr>
          <w:lang w:val="en-CA"/>
        </w:rPr>
        <w:lastRenderedPageBreak/>
        <w:t>SUPPLEMENTAL FIGURES</w:t>
      </w:r>
    </w:p>
    <w:p w14:paraId="3179806F" w14:textId="77777777" w:rsidR="008A3F03" w:rsidRDefault="008A3F03" w:rsidP="008A3F03">
      <w:pPr>
        <w:spacing w:line="240" w:lineRule="auto"/>
        <w:rPr>
          <w:lang w:val="en-US"/>
        </w:rPr>
      </w:pPr>
      <w:r>
        <w:rPr>
          <w:b/>
          <w:bCs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3E6CF96" wp14:editId="28B697E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59450" cy="6623685"/>
            <wp:effectExtent l="0" t="0" r="6350" b="5715"/>
            <wp:wrapTopAndBottom/>
            <wp:docPr id="1531578109" name="Grafik 6" descr="Ein Bild, das Diagramm, Text, Plan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578109" name="Grafik 6" descr="Ein Bild, das Diagramm, Text, Plan, Screenshot enthält.&#10;&#10;KI-generierte Inhalte können fehlerhaft sein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623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1A60">
        <w:rPr>
          <w:b/>
          <w:bCs/>
          <w:lang w:val="en-US"/>
        </w:rPr>
        <w:t>Figure S1</w:t>
      </w:r>
      <w:r>
        <w:rPr>
          <w:lang w:val="en-US"/>
        </w:rPr>
        <w:t xml:space="preserve"> Immune cell mobilization is independent of exercise intensity, related to Figure 1 and Table S2, S3, and S4.</w:t>
      </w:r>
    </w:p>
    <w:p w14:paraId="1D40FEB7" w14:textId="77777777" w:rsidR="008A3F03" w:rsidRDefault="008A3F03" w:rsidP="008A3F03">
      <w:pPr>
        <w:spacing w:line="240" w:lineRule="auto"/>
        <w:rPr>
          <w:lang w:val="en-US"/>
        </w:rPr>
      </w:pPr>
      <w:r>
        <w:rPr>
          <w:lang w:val="en-US"/>
        </w:rPr>
        <w:t>(A) Gating strategy applied to PBMCs. Gated immune cell populations included vital lymphocytes, T cells, CD4+ T cells, CD8+ T cells, natural killer (NK) T cells, regulatory T cells, NK cells, CD56</w:t>
      </w:r>
      <w:r w:rsidRPr="00825F1E">
        <w:rPr>
          <w:vertAlign w:val="superscript"/>
          <w:lang w:val="en-US"/>
        </w:rPr>
        <w:t>dim</w:t>
      </w:r>
      <w:r>
        <w:rPr>
          <w:lang w:val="en-US"/>
        </w:rPr>
        <w:t xml:space="preserve"> cells, CD56</w:t>
      </w:r>
      <w:r w:rsidRPr="00825F1E">
        <w:rPr>
          <w:vertAlign w:val="superscript"/>
          <w:lang w:val="en-US"/>
        </w:rPr>
        <w:t>bright</w:t>
      </w:r>
      <w:r>
        <w:rPr>
          <w:lang w:val="en-US"/>
        </w:rPr>
        <w:t xml:space="preserve"> cells, and B cells.</w:t>
      </w:r>
    </w:p>
    <w:p w14:paraId="61786488" w14:textId="77777777" w:rsidR="008A3F03" w:rsidRDefault="008A3F03" w:rsidP="008A3F03">
      <w:pPr>
        <w:spacing w:line="240" w:lineRule="auto"/>
        <w:rPr>
          <w:lang w:val="en-US"/>
        </w:rPr>
      </w:pPr>
      <w:r>
        <w:rPr>
          <w:lang w:val="en-US"/>
        </w:rPr>
        <w:t>(B) Mobilization kinetics of total lymphocytes and lymphocyte subsets in response to high-intensity interval exercise (HIIE) and moderate-intensity continuous exercise (MICE). Linear mixed models with subsequent analyses of variance and Bonferroni-corrected pairwise comparisons were applied. Data are represented as mean ± SEM (n = 22). Time effects : **** p &lt; 0.0001, *** p &lt; 0.001, ** p &lt; 0.01, * p &lt; 0.05.</w:t>
      </w:r>
    </w:p>
    <w:p w14:paraId="62B59C22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lastRenderedPageBreak/>
        <w:br w:type="page"/>
      </w:r>
    </w:p>
    <w:p w14:paraId="6C339F50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b/>
          <w:bCs/>
          <w:noProof/>
          <w:lang w:val="en-US"/>
        </w:rPr>
        <w:lastRenderedPageBreak/>
        <w:drawing>
          <wp:anchor distT="0" distB="0" distL="114300" distR="114300" simplePos="0" relativeHeight="251660288" behindDoc="0" locked="0" layoutInCell="1" allowOverlap="1" wp14:anchorId="7FEDDCF7" wp14:editId="6342F97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59450" cy="6623685"/>
            <wp:effectExtent l="0" t="0" r="6350" b="5715"/>
            <wp:wrapTopAndBottom/>
            <wp:docPr id="1449485368" name="Grafik 7" descr="Ein Bild, das Text, Diagramm, Karte, Pla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485368" name="Grafik 7" descr="Ein Bild, das Text, Diagramm, Karte, Plan enthält.&#10;&#10;KI-generierte Inhalte können fehlerhaft sein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623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316F">
        <w:rPr>
          <w:b/>
          <w:bCs/>
          <w:lang w:val="en-US"/>
        </w:rPr>
        <w:t>Figure S2</w:t>
      </w:r>
      <w:r w:rsidRPr="00AC316F">
        <w:rPr>
          <w:lang w:val="en-US"/>
        </w:rPr>
        <w:t xml:space="preserve"> Proteomic variability</w:t>
      </w:r>
      <w:r>
        <w:rPr>
          <w:lang w:val="en-US"/>
        </w:rPr>
        <w:t xml:space="preserve"> and principal component analyses (PCA) separated by exercise condition and measurement timepoint, related to Figure 2</w:t>
      </w:r>
    </w:p>
    <w:p w14:paraId="1373AD89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t>(A) Proteomic variability immediately after HIIE and MICE.</w:t>
      </w:r>
    </w:p>
    <w:p w14:paraId="57D522C8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t>(B) Proteomic variability 1h after HIIE and MICE.</w:t>
      </w:r>
    </w:p>
    <w:p w14:paraId="26A42D79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t>(C) PCA on complete dataset to evaluate the impact of intervention day and sex.</w:t>
      </w:r>
    </w:p>
    <w:p w14:paraId="03713422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t>(D) PCA separated by exercise condition to evaluate the impact of measurement timepoint.</w:t>
      </w:r>
    </w:p>
    <w:p w14:paraId="28E9A02B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t>(E) PCA separated by measurement timepoint to evaluate the impact of exercise condition.</w:t>
      </w:r>
    </w:p>
    <w:p w14:paraId="25B264B8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br w:type="page"/>
      </w:r>
    </w:p>
    <w:p w14:paraId="47CEAB2E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b/>
          <w:bCs/>
          <w:noProof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1B688539" wp14:editId="13CBAA6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59450" cy="5677535"/>
            <wp:effectExtent l="0" t="0" r="6350" b="0"/>
            <wp:wrapTopAndBottom/>
            <wp:docPr id="1780765592" name="Grafik 8" descr="Ein Bild, das Text, Diagramm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765592" name="Grafik 8" descr="Ein Bild, das Text, Diagramm, Screenshot enthält.&#10;&#10;KI-generierte Inhalte können fehlerhaft sein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677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3F0A">
        <w:rPr>
          <w:b/>
          <w:bCs/>
          <w:lang w:val="en-US"/>
        </w:rPr>
        <w:t>Figure S3</w:t>
      </w:r>
      <w:r>
        <w:rPr>
          <w:lang w:val="en-US"/>
        </w:rPr>
        <w:t xml:space="preserve"> Biological theme comparison suggests shared and unique GO terms across protein clusters in HIIE</w:t>
      </w:r>
    </w:p>
    <w:p w14:paraId="5E89D05C" w14:textId="77777777" w:rsidR="008A3F03" w:rsidRDefault="008A3F03" w:rsidP="008A3F03">
      <w:pPr>
        <w:spacing w:line="240" w:lineRule="auto"/>
        <w:rPr>
          <w:lang w:val="en-US"/>
        </w:rPr>
      </w:pPr>
      <w:r>
        <w:rPr>
          <w:lang w:val="en-US"/>
        </w:rPr>
        <w:t>(A) Relative cluster membership of proteins altered by HIIE.</w:t>
      </w:r>
    </w:p>
    <w:p w14:paraId="680B52A7" w14:textId="77777777" w:rsidR="008A3F03" w:rsidRDefault="008A3F03" w:rsidP="008A3F03">
      <w:pPr>
        <w:spacing w:line="240" w:lineRule="auto"/>
        <w:rPr>
          <w:lang w:val="en-US"/>
        </w:rPr>
      </w:pPr>
      <w:r>
        <w:rPr>
          <w:lang w:val="en-US"/>
        </w:rPr>
        <w:t>(B) Comparison of biological processes in clusters 1 – 4.</w:t>
      </w:r>
    </w:p>
    <w:p w14:paraId="156ECCD4" w14:textId="77777777" w:rsidR="008A3F03" w:rsidRDefault="008A3F03" w:rsidP="008A3F03">
      <w:pPr>
        <w:spacing w:line="240" w:lineRule="auto"/>
        <w:rPr>
          <w:lang w:val="en-US"/>
        </w:rPr>
      </w:pPr>
      <w:r>
        <w:rPr>
          <w:lang w:val="en-US"/>
        </w:rPr>
        <w:t>(C) Comparison of molecular functions in clusters 1 – 4.</w:t>
      </w:r>
    </w:p>
    <w:p w14:paraId="56B493AB" w14:textId="77777777" w:rsidR="008A3F03" w:rsidRDefault="008A3F03" w:rsidP="008A3F03">
      <w:pPr>
        <w:spacing w:line="240" w:lineRule="auto"/>
        <w:rPr>
          <w:lang w:val="en-US"/>
        </w:rPr>
      </w:pPr>
      <w:r>
        <w:rPr>
          <w:lang w:val="en-US"/>
        </w:rPr>
        <w:t>(D) Comparison of cellular components in clusters 1 – 4.</w:t>
      </w:r>
    </w:p>
    <w:p w14:paraId="6891D8DE" w14:textId="77777777" w:rsidR="008A3F03" w:rsidRDefault="008A3F03" w:rsidP="008A3F03">
      <w:pPr>
        <w:rPr>
          <w:lang w:val="en-US"/>
        </w:rPr>
      </w:pPr>
      <w:r>
        <w:rPr>
          <w:lang w:val="en-US"/>
        </w:rPr>
        <w:t>See also Table S7 and S8.</w:t>
      </w:r>
    </w:p>
    <w:p w14:paraId="3E399D02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br w:type="page"/>
      </w:r>
    </w:p>
    <w:p w14:paraId="43491FD5" w14:textId="77777777" w:rsidR="008A3F03" w:rsidRPr="009F017C" w:rsidRDefault="008A3F03" w:rsidP="008A3F03">
      <w:pPr>
        <w:spacing w:line="240" w:lineRule="auto"/>
        <w:jc w:val="left"/>
        <w:rPr>
          <w:lang w:val="en-US"/>
        </w:rPr>
      </w:pPr>
      <w:r>
        <w:rPr>
          <w:b/>
          <w:bCs/>
          <w:noProof/>
          <w:lang w:val="en-US"/>
        </w:rPr>
        <w:lastRenderedPageBreak/>
        <w:drawing>
          <wp:anchor distT="0" distB="0" distL="114300" distR="114300" simplePos="0" relativeHeight="251662336" behindDoc="0" locked="0" layoutInCell="1" allowOverlap="1" wp14:anchorId="075440CE" wp14:editId="4646D21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59450" cy="6320155"/>
            <wp:effectExtent l="0" t="0" r="6350" b="4445"/>
            <wp:wrapTopAndBottom/>
            <wp:docPr id="874882753" name="Grafik 9" descr="Ein Bild, das Text, Diagramm, Screenshot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882753" name="Grafik 9" descr="Ein Bild, das Text, Diagramm, Screenshot, Design enthält.&#10;&#10;KI-generierte Inhalte können fehlerhaft sein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320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707F">
        <w:rPr>
          <w:b/>
          <w:bCs/>
          <w:lang w:val="en-US"/>
        </w:rPr>
        <w:t>Figure S</w:t>
      </w:r>
      <w:r>
        <w:rPr>
          <w:b/>
          <w:bCs/>
          <w:lang w:val="en-US"/>
        </w:rPr>
        <w:t>4</w:t>
      </w:r>
      <w:r>
        <w:rPr>
          <w:lang w:val="en-US"/>
        </w:rPr>
        <w:t xml:space="preserve"> GO terms overlap between clusters 1 &amp; 2 and 2 &amp; 3, respectively, related to Figure 5 and Table S9</w:t>
      </w:r>
    </w:p>
    <w:p w14:paraId="6756FA81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t>(A) Overview of shared and unique GO terms across all clusters.</w:t>
      </w:r>
    </w:p>
    <w:p w14:paraId="0ED515B0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t>(B) GO terms shared between clusters 1 and 2.</w:t>
      </w:r>
    </w:p>
    <w:p w14:paraId="1FADA6DB" w14:textId="77777777" w:rsidR="008A3F03" w:rsidRDefault="008A3F03" w:rsidP="008A3F03">
      <w:pPr>
        <w:spacing w:line="240" w:lineRule="auto"/>
        <w:jc w:val="left"/>
        <w:rPr>
          <w:lang w:val="en-US"/>
        </w:rPr>
      </w:pPr>
      <w:r>
        <w:rPr>
          <w:lang w:val="en-US"/>
        </w:rPr>
        <w:t>(C) GO terms shared between clusters 2 and 3.</w:t>
      </w:r>
    </w:p>
    <w:p w14:paraId="1AA9C556" w14:textId="77777777" w:rsidR="0038214D" w:rsidRPr="008A3F03" w:rsidRDefault="0038214D">
      <w:pPr>
        <w:rPr>
          <w:lang w:val="en-US"/>
        </w:rPr>
      </w:pPr>
    </w:p>
    <w:sectPr w:rsidR="0038214D" w:rsidRPr="008A3F03" w:rsidSect="008A3F03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7F908" w14:textId="77777777" w:rsidR="00541571" w:rsidRDefault="00541571" w:rsidP="008A3F03">
      <w:pPr>
        <w:spacing w:line="240" w:lineRule="auto"/>
      </w:pPr>
      <w:r>
        <w:separator/>
      </w:r>
    </w:p>
  </w:endnote>
  <w:endnote w:type="continuationSeparator" w:id="0">
    <w:p w14:paraId="373BD70B" w14:textId="77777777" w:rsidR="00541571" w:rsidRDefault="00541571" w:rsidP="008A3F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Überschriften">
    <w:altName w:val="Times New Roman"/>
    <w:charset w:val="00"/>
    <w:family w:val="roman"/>
    <w:pitch w:val="variable"/>
    <w:sig w:usb0="E0002AE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23716451"/>
      <w:docPartObj>
        <w:docPartGallery w:val="Page Numbers (Bottom of Page)"/>
        <w:docPartUnique/>
      </w:docPartObj>
    </w:sdtPr>
    <w:sdtContent>
      <w:p w14:paraId="17E8E68F" w14:textId="77777777" w:rsidR="00000000" w:rsidRDefault="00000000" w:rsidP="0016519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CE1ABFA" w14:textId="77777777" w:rsidR="00000000" w:rsidRDefault="00000000" w:rsidP="0013357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95854240"/>
      <w:docPartObj>
        <w:docPartGallery w:val="Page Numbers (Bottom of Page)"/>
        <w:docPartUnique/>
      </w:docPartObj>
    </w:sdtPr>
    <w:sdtContent>
      <w:p w14:paraId="1436BB7D" w14:textId="77777777" w:rsidR="00000000" w:rsidRDefault="00000000" w:rsidP="0016519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2C36768" w14:textId="77777777" w:rsidR="00000000" w:rsidRPr="000E4958" w:rsidRDefault="00000000" w:rsidP="00F936D5">
    <w:pPr>
      <w:tabs>
        <w:tab w:val="left" w:pos="2008"/>
      </w:tabs>
      <w:rPr>
        <w:rFonts w:eastAsiaTheme="majorEastAsia" w:cs="Arial"/>
        <w:bCs/>
        <w:color w:val="000000" w:themeColor="text1"/>
        <w:szCs w:val="26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70635396"/>
      <w:docPartObj>
        <w:docPartGallery w:val="Page Numbers (Bottom of Page)"/>
        <w:docPartUnique/>
      </w:docPartObj>
    </w:sdtPr>
    <w:sdtContent>
      <w:p w14:paraId="4C4521F6" w14:textId="77777777" w:rsidR="00000000" w:rsidRDefault="00000000" w:rsidP="000C506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334A539" w14:textId="77777777" w:rsidR="00000000" w:rsidRDefault="00000000" w:rsidP="0069285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CF4A9" w14:textId="77777777" w:rsidR="00541571" w:rsidRDefault="00541571" w:rsidP="008A3F03">
      <w:pPr>
        <w:spacing w:line="240" w:lineRule="auto"/>
      </w:pPr>
      <w:r>
        <w:separator/>
      </w:r>
    </w:p>
  </w:footnote>
  <w:footnote w:type="continuationSeparator" w:id="0">
    <w:p w14:paraId="14530C40" w14:textId="77777777" w:rsidR="00541571" w:rsidRDefault="00541571" w:rsidP="008A3F0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67920" w14:textId="14BC6EEE" w:rsidR="00000000" w:rsidRPr="00F936D5" w:rsidRDefault="00000000" w:rsidP="00F936D5">
    <w:pPr>
      <w:tabs>
        <w:tab w:val="left" w:pos="2008"/>
      </w:tabs>
      <w:jc w:val="right"/>
      <w:rPr>
        <w:rFonts w:eastAsiaTheme="majorEastAsia" w:cs="Arial"/>
        <w:bCs/>
        <w:color w:val="000000" w:themeColor="text1"/>
        <w:szCs w:val="26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56337" w14:textId="77777777" w:rsidR="00000000" w:rsidRDefault="00000000" w:rsidP="00692858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03"/>
    <w:rsid w:val="00235F39"/>
    <w:rsid w:val="0038214D"/>
    <w:rsid w:val="00530909"/>
    <w:rsid w:val="00541571"/>
    <w:rsid w:val="0084006D"/>
    <w:rsid w:val="008A3F03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D41C8"/>
  <w15:chartTrackingRefBased/>
  <w15:docId w15:val="{BBF0BA49-F8A4-4949-AC23-515C06444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F03"/>
    <w:pPr>
      <w:spacing w:after="0" w:line="360" w:lineRule="auto"/>
      <w:jc w:val="both"/>
    </w:pPr>
    <w:rPr>
      <w:rFonts w:ascii="Arial" w:hAnsi="Arial"/>
      <w:kern w:val="0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3F0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3F0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F0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F0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F0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F03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F03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F03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F0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F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F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F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F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F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F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F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F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F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F0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3F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F0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3F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F03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3F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3F03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3F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F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F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F0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1"/>
    <w:uiPriority w:val="99"/>
    <w:unhideWhenUsed/>
    <w:rsid w:val="008A3F0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uiPriority w:val="99"/>
    <w:semiHidden/>
    <w:rsid w:val="008A3F03"/>
    <w:rPr>
      <w:rFonts w:ascii="Arial" w:hAnsi="Arial"/>
      <w:kern w:val="0"/>
      <w:lang w:val="de-DE"/>
      <w14:ligatures w14:val="none"/>
    </w:rPr>
  </w:style>
  <w:style w:type="character" w:customStyle="1" w:styleId="HeaderChar1">
    <w:name w:val="Header Char1"/>
    <w:basedOn w:val="DefaultParagraphFont"/>
    <w:link w:val="Header"/>
    <w:uiPriority w:val="99"/>
    <w:rsid w:val="008A3F03"/>
    <w:rPr>
      <w:rFonts w:ascii="Arial" w:hAnsi="Arial"/>
      <w:kern w:val="0"/>
      <w:lang w:val="de-DE"/>
      <w14:ligatures w14:val="none"/>
    </w:rPr>
  </w:style>
  <w:style w:type="paragraph" w:styleId="Footer">
    <w:name w:val="footer"/>
    <w:basedOn w:val="Normal"/>
    <w:link w:val="FooterChar1"/>
    <w:uiPriority w:val="99"/>
    <w:unhideWhenUsed/>
    <w:rsid w:val="008A3F0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uiPriority w:val="99"/>
    <w:semiHidden/>
    <w:rsid w:val="008A3F03"/>
    <w:rPr>
      <w:rFonts w:ascii="Arial" w:hAnsi="Arial"/>
      <w:kern w:val="0"/>
      <w:lang w:val="de-DE"/>
      <w14:ligatures w14:val="none"/>
    </w:rPr>
  </w:style>
  <w:style w:type="character" w:customStyle="1" w:styleId="FooterChar1">
    <w:name w:val="Footer Char1"/>
    <w:basedOn w:val="DefaultParagraphFont"/>
    <w:link w:val="Footer"/>
    <w:uiPriority w:val="99"/>
    <w:rsid w:val="008A3F03"/>
    <w:rPr>
      <w:rFonts w:ascii="Arial" w:hAnsi="Arial"/>
      <w:kern w:val="0"/>
      <w:lang w:val="de-DE"/>
      <w14:ligatures w14:val="none"/>
    </w:rPr>
  </w:style>
  <w:style w:type="character" w:customStyle="1" w:styleId="Heading1Char1">
    <w:name w:val="Heading 1 Char1"/>
    <w:basedOn w:val="DefaultParagraphFont"/>
    <w:uiPriority w:val="9"/>
    <w:rsid w:val="008A3F03"/>
    <w:rPr>
      <w:rFonts w:ascii="Arial" w:eastAsiaTheme="majorEastAsia" w:hAnsi="Arial" w:cs="Times New Roman (Überschriften"/>
      <w:b/>
      <w:caps/>
      <w:color w:val="000000" w:themeColor="text1"/>
      <w:szCs w:val="32"/>
    </w:rPr>
  </w:style>
  <w:style w:type="character" w:customStyle="1" w:styleId="Heading2Char1">
    <w:name w:val="Heading 2 Char1"/>
    <w:basedOn w:val="DefaultParagraphFont"/>
    <w:uiPriority w:val="9"/>
    <w:rsid w:val="008A3F03"/>
    <w:rPr>
      <w:rFonts w:ascii="Arial" w:eastAsiaTheme="majorEastAsia" w:hAnsi="Arial" w:cs="Times New Roman (Überschriften"/>
      <w:b/>
      <w:color w:val="000000" w:themeColor="text1"/>
      <w:szCs w:val="26"/>
    </w:rPr>
  </w:style>
  <w:style w:type="character" w:styleId="PageNumber">
    <w:name w:val="page number"/>
    <w:basedOn w:val="DefaultParagraphFont"/>
    <w:uiPriority w:val="99"/>
    <w:semiHidden/>
    <w:unhideWhenUsed/>
    <w:rsid w:val="008A3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437</Words>
  <Characters>2496</Characters>
  <Application>Microsoft Office Word</Application>
  <DocSecurity>0</DocSecurity>
  <Lines>20</Lines>
  <Paragraphs>5</Paragraphs>
  <ScaleCrop>false</ScaleCrop>
  <Company>Springer Nature</Company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2025-06-30T11:45:00Z</dcterms:created>
  <dcterms:modified xsi:type="dcterms:W3CDTF">2025-06-30T11:46:00Z</dcterms:modified>
</cp:coreProperties>
</file>