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DCF6" w14:textId="16D758FC" w:rsidR="00BB7C15" w:rsidRPr="00BB7C15" w:rsidRDefault="00BB7C15" w:rsidP="00BB7C15">
      <w:pPr>
        <w:spacing w:line="480" w:lineRule="auto"/>
        <w:jc w:val="center"/>
        <w:rPr>
          <w:rFonts w:ascii="Times New Roman" w:eastAsia="Times New Roman" w:hAnsi="Times New Roman" w:cs="Times New Roman"/>
          <w:color w:val="000000"/>
          <w:kern w:val="0"/>
          <w:sz w:val="22"/>
          <w:szCs w:val="22"/>
          <w:lang w:eastAsia="en-GB"/>
          <w14:ligatures w14:val="none"/>
        </w:rPr>
      </w:pPr>
      <w:r w:rsidRPr="00546749">
        <w:rPr>
          <w:rFonts w:ascii="Times New Roman" w:eastAsia="Times New Roman" w:hAnsi="Times New Roman" w:cs="Times New Roman"/>
          <w:b/>
          <w:bCs/>
          <w:color w:val="000000"/>
          <w:kern w:val="0"/>
          <w:lang w:eastAsia="en-GB"/>
          <w14:ligatures w14:val="none"/>
        </w:rPr>
        <w:t>Supplementary Material</w:t>
      </w:r>
    </w:p>
    <w:p w14:paraId="276BB32B" w14:textId="6E97B3C4" w:rsidR="00700674" w:rsidRPr="00BB7C15" w:rsidRDefault="00B11071" w:rsidP="00BB7C15">
      <w:pPr>
        <w:spacing w:line="480" w:lineRule="auto"/>
        <w:jc w:val="center"/>
        <w:rPr>
          <w:rFonts w:ascii="Times New Roman" w:eastAsia="Times New Roman" w:hAnsi="Times New Roman" w:cs="Times New Roman"/>
          <w:color w:val="000000"/>
          <w:sz w:val="28"/>
          <w:szCs w:val="28"/>
          <w:lang w:eastAsia="en-GB"/>
        </w:rPr>
        <w:sectPr w:rsidR="00700674" w:rsidRPr="00BB7C15" w:rsidSect="00677A10">
          <w:pgSz w:w="11906" w:h="16838"/>
          <w:pgMar w:top="1440" w:right="1440" w:bottom="1440" w:left="1440" w:header="708" w:footer="708" w:gutter="0"/>
          <w:pgNumType w:start="2"/>
          <w:cols w:space="708"/>
          <w:docGrid w:linePitch="360"/>
        </w:sectPr>
      </w:pPr>
      <w:r w:rsidRPr="00546749">
        <w:rPr>
          <w:rFonts w:ascii="Times New Roman" w:eastAsia="Times New Roman" w:hAnsi="Times New Roman" w:cs="Times New Roman"/>
          <w:b/>
          <w:bCs/>
          <w:color w:val="000000"/>
          <w:sz w:val="28"/>
          <w:szCs w:val="28"/>
          <w:lang w:eastAsia="en-GB"/>
        </w:rPr>
        <w:t>Surrounded by genes: Parental genetic effects on children’s mental hea</w:t>
      </w:r>
      <w:r w:rsidR="003E25BE">
        <w:rPr>
          <w:rFonts w:ascii="Times New Roman" w:eastAsia="Times New Roman" w:hAnsi="Times New Roman" w:cs="Times New Roman"/>
          <w:b/>
          <w:bCs/>
          <w:color w:val="000000"/>
          <w:sz w:val="28"/>
          <w:szCs w:val="28"/>
          <w:lang w:eastAsia="en-GB"/>
        </w:rPr>
        <w:t>lth</w:t>
      </w:r>
    </w:p>
    <w:p w14:paraId="49EFD4D4" w14:textId="4E84EACF" w:rsidR="00BB7C15" w:rsidRPr="00BB7C15" w:rsidRDefault="00BB7C15" w:rsidP="00BB7C15">
      <w:pPr>
        <w:rPr>
          <w:rFonts w:ascii="Times New Roman" w:eastAsia="MS Mincho" w:hAnsi="Times New Roman" w:cs="Times New Roman"/>
          <w:b/>
          <w:color w:val="000000" w:themeColor="text1"/>
        </w:rPr>
      </w:pPr>
      <w:r w:rsidRPr="00BB7C15">
        <w:rPr>
          <w:rFonts w:ascii="Times New Roman" w:hAnsi="Times New Roman" w:cs="Times New Roman"/>
          <w:b/>
          <w:color w:val="000000" w:themeColor="text1"/>
        </w:rPr>
        <w:lastRenderedPageBreak/>
        <w:t xml:space="preserve">Supplementary figures </w:t>
      </w:r>
    </w:p>
    <w:p w14:paraId="10C4B896" w14:textId="77777777" w:rsidR="00BB7C15" w:rsidRPr="00BB7C15" w:rsidRDefault="00BB7C15" w:rsidP="00BB7C15">
      <w:pPr>
        <w:rPr>
          <w:rFonts w:ascii="Times New Roman" w:hAnsi="Times New Roman" w:cs="Times New Roman"/>
          <w:b/>
          <w:color w:val="000000" w:themeColor="text1"/>
        </w:rPr>
      </w:pPr>
    </w:p>
    <w:p w14:paraId="65EA17B9" w14:textId="0D84EA9A" w:rsidR="00BB7C15" w:rsidRPr="00BB7C15" w:rsidRDefault="00BB7C15" w:rsidP="00BB7C15">
      <w:pPr>
        <w:pStyle w:val="ListParagraph"/>
        <w:numPr>
          <w:ilvl w:val="0"/>
          <w:numId w:val="5"/>
        </w:numPr>
        <w:rPr>
          <w:rFonts w:ascii="Times New Roman" w:hAnsi="Times New Roman" w:cs="Times New Roman"/>
          <w:color w:val="000000" w:themeColor="text1"/>
        </w:rPr>
      </w:pPr>
      <w:r w:rsidRPr="00BB7C15">
        <w:rPr>
          <w:rFonts w:ascii="Times New Roman" w:hAnsi="Times New Roman" w:cs="Times New Roman"/>
          <w:color w:val="000000" w:themeColor="text1"/>
        </w:rPr>
        <w:t>Supplementary Figure S1</w:t>
      </w:r>
      <w:r>
        <w:rPr>
          <w:rFonts w:ascii="Times New Roman" w:hAnsi="Times New Roman" w:cs="Times New Roman"/>
          <w:color w:val="000000" w:themeColor="text1"/>
        </w:rPr>
        <w:t>a-d</w:t>
      </w:r>
      <w:r w:rsidRPr="00BB7C15">
        <w:rPr>
          <w:rFonts w:ascii="Times New Roman" w:hAnsi="Times New Roman" w:cs="Times New Roman"/>
          <w:color w:val="000000" w:themeColor="text1"/>
        </w:rPr>
        <w:t xml:space="preserve">: </w:t>
      </w:r>
      <w:r w:rsidRPr="00BB7C15">
        <w:rPr>
          <w:rFonts w:ascii="Times New Roman" w:eastAsia="Times New Roman" w:hAnsi="Times New Roman" w:cs="Times New Roman"/>
          <w:kern w:val="0"/>
          <w:shd w:val="clear" w:color="auto" w:fill="FFFFFF"/>
          <w:lang w:eastAsia="en-GB"/>
          <w14:ligatures w14:val="none"/>
        </w:rPr>
        <w:t>Density and Box-and-whisker plots comparing distributions of complete and imputed data</w:t>
      </w:r>
      <w:r>
        <w:rPr>
          <w:rFonts w:ascii="Times New Roman" w:eastAsia="Times New Roman" w:hAnsi="Times New Roman" w:cs="Times New Roman"/>
          <w:kern w:val="0"/>
          <w:shd w:val="clear" w:color="auto" w:fill="FFFFFF"/>
          <w:lang w:eastAsia="en-GB"/>
          <w14:ligatures w14:val="none"/>
        </w:rPr>
        <w:t xml:space="preserve"> for each outcome measure</w:t>
      </w:r>
    </w:p>
    <w:p w14:paraId="609D0E1D" w14:textId="0B90541D" w:rsidR="00BB7C15" w:rsidRPr="00BB7C15" w:rsidRDefault="00BB7C15" w:rsidP="00BB7C15">
      <w:pPr>
        <w:pStyle w:val="ListParagraph"/>
        <w:numPr>
          <w:ilvl w:val="0"/>
          <w:numId w:val="5"/>
        </w:numPr>
        <w:rPr>
          <w:rFonts w:ascii="Times New Roman" w:hAnsi="Times New Roman" w:cs="Times New Roman"/>
          <w:color w:val="000000" w:themeColor="text1"/>
        </w:rPr>
      </w:pPr>
      <w:r w:rsidRPr="00BB7C15">
        <w:rPr>
          <w:rFonts w:ascii="Times New Roman" w:hAnsi="Times New Roman" w:cs="Times New Roman"/>
          <w:color w:val="000000" w:themeColor="text1"/>
        </w:rPr>
        <w:t xml:space="preserve">Supplementary Figure S2: </w:t>
      </w:r>
      <w:r w:rsidRPr="00BB7C15">
        <w:rPr>
          <w:rFonts w:ascii="Times New Roman" w:hAnsi="Times New Roman" w:cs="Times New Roman"/>
          <w:color w:val="222222"/>
          <w:shd w:val="clear" w:color="auto" w:fill="FFFFFF"/>
        </w:rPr>
        <w:t>A visual overview of the single-polygenic score models</w:t>
      </w:r>
    </w:p>
    <w:p w14:paraId="04335CAF" w14:textId="77777777" w:rsidR="00BB7C15" w:rsidRPr="00BB7C15" w:rsidRDefault="00BB7C15" w:rsidP="00BB7C15">
      <w:pPr>
        <w:pStyle w:val="ListParagraph"/>
        <w:rPr>
          <w:rFonts w:ascii="Times New Roman" w:hAnsi="Times New Roman" w:cs="Times New Roman"/>
          <w:color w:val="000000" w:themeColor="text1"/>
        </w:rPr>
      </w:pPr>
    </w:p>
    <w:p w14:paraId="41775980" w14:textId="77777777" w:rsidR="00BB7C15" w:rsidRPr="00BB7C15" w:rsidRDefault="00BB7C15" w:rsidP="00BB7C15">
      <w:pPr>
        <w:rPr>
          <w:rFonts w:ascii="Times New Roman" w:hAnsi="Times New Roman" w:cs="Times New Roman"/>
          <w:color w:val="000000" w:themeColor="text1"/>
        </w:rPr>
      </w:pPr>
    </w:p>
    <w:p w14:paraId="1AB1589F" w14:textId="77777777" w:rsidR="00BB7C15" w:rsidRPr="00BB7C15" w:rsidRDefault="00BB7C15" w:rsidP="00BB7C15">
      <w:pPr>
        <w:rPr>
          <w:rFonts w:ascii="Times New Roman" w:hAnsi="Times New Roman" w:cs="Times New Roman"/>
          <w:b/>
          <w:color w:val="000000" w:themeColor="text1"/>
        </w:rPr>
      </w:pPr>
      <w:r w:rsidRPr="00BB7C15">
        <w:rPr>
          <w:rFonts w:ascii="Times New Roman" w:hAnsi="Times New Roman" w:cs="Times New Roman"/>
          <w:b/>
          <w:color w:val="000000" w:themeColor="text1"/>
        </w:rPr>
        <w:t>Supplementary tables</w:t>
      </w:r>
    </w:p>
    <w:p w14:paraId="20A18C6D" w14:textId="77777777" w:rsidR="00BB7C15" w:rsidRPr="00BB7C15" w:rsidRDefault="00BB7C15" w:rsidP="00BB7C15">
      <w:pPr>
        <w:rPr>
          <w:rFonts w:ascii="Times New Roman" w:hAnsi="Times New Roman" w:cs="Times New Roman"/>
          <w:b/>
          <w:color w:val="000000" w:themeColor="text1"/>
        </w:rPr>
      </w:pPr>
    </w:p>
    <w:p w14:paraId="70950211" w14:textId="241153D8" w:rsidR="00BB7C15" w:rsidRPr="00BB7C15" w:rsidRDefault="00BB7C15" w:rsidP="00BB7C15">
      <w:pPr>
        <w:pStyle w:val="ListParagraph"/>
        <w:numPr>
          <w:ilvl w:val="0"/>
          <w:numId w:val="6"/>
        </w:numPr>
        <w:rPr>
          <w:rFonts w:ascii="Times New Roman" w:hAnsi="Times New Roman" w:cs="Times New Roman"/>
          <w:color w:val="000000" w:themeColor="text1"/>
        </w:rPr>
      </w:pPr>
      <w:r w:rsidRPr="00BB7C15">
        <w:rPr>
          <w:rFonts w:ascii="Times New Roman" w:hAnsi="Times New Roman" w:cs="Times New Roman"/>
          <w:color w:val="000000" w:themeColor="text1"/>
        </w:rPr>
        <w:t xml:space="preserve">Supplementary Table S1: </w:t>
      </w:r>
      <w:r w:rsidRPr="00BB7C15">
        <w:rPr>
          <w:rFonts w:ascii="Times New Roman" w:eastAsia="Times New Roman" w:hAnsi="Times New Roman" w:cs="Times New Roman"/>
          <w:color w:val="000000"/>
          <w:kern w:val="0"/>
          <w:lang w:eastAsia="en-GB"/>
          <w14:ligatures w14:val="none"/>
        </w:rPr>
        <w:t>Genome-wide association study summary statistics used to compute polygenic scores</w:t>
      </w:r>
    </w:p>
    <w:p w14:paraId="01EF62E2" w14:textId="64AFC086" w:rsidR="00BB7C15" w:rsidRPr="00BB7C15" w:rsidRDefault="00BB7C15" w:rsidP="00BB7C15">
      <w:pPr>
        <w:pStyle w:val="ListParagraph"/>
        <w:numPr>
          <w:ilvl w:val="0"/>
          <w:numId w:val="6"/>
        </w:numPr>
        <w:rPr>
          <w:rFonts w:ascii="Times New Roman" w:hAnsi="Times New Roman" w:cs="Times New Roman"/>
          <w:color w:val="000000" w:themeColor="text1"/>
        </w:rPr>
      </w:pPr>
      <w:r w:rsidRPr="00BB7C15">
        <w:rPr>
          <w:rFonts w:ascii="Times New Roman" w:hAnsi="Times New Roman" w:cs="Times New Roman"/>
          <w:color w:val="000000" w:themeColor="text1"/>
        </w:rPr>
        <w:t>Supplementary Table S</w:t>
      </w:r>
      <w:r>
        <w:rPr>
          <w:rFonts w:ascii="Times New Roman" w:hAnsi="Times New Roman" w:cs="Times New Roman"/>
          <w:color w:val="000000" w:themeColor="text1"/>
        </w:rPr>
        <w:t>2</w:t>
      </w:r>
      <w:r w:rsidRPr="00BB7C15">
        <w:rPr>
          <w:rFonts w:ascii="Times New Roman" w:hAnsi="Times New Roman" w:cs="Times New Roman"/>
          <w:color w:val="000000" w:themeColor="text1"/>
        </w:rPr>
        <w:t xml:space="preserve">: </w:t>
      </w:r>
      <w:r w:rsidRPr="00BB7C15">
        <w:rPr>
          <w:rFonts w:ascii="Times New Roman" w:hAnsi="Times New Roman" w:cs="Times New Roman"/>
          <w:shd w:val="clear" w:color="auto" w:fill="FFFFFF"/>
        </w:rPr>
        <w:t>Auxiliary variables included in the multiple imputation model</w:t>
      </w:r>
    </w:p>
    <w:p w14:paraId="1F7D4987" w14:textId="2D8CE0E3" w:rsidR="00BB7C15" w:rsidRPr="00BB7C15" w:rsidRDefault="00BB7C15" w:rsidP="00BB7C15">
      <w:pPr>
        <w:pStyle w:val="ListParagraph"/>
        <w:numPr>
          <w:ilvl w:val="0"/>
          <w:numId w:val="6"/>
        </w:numPr>
        <w:rPr>
          <w:rFonts w:ascii="Times New Roman" w:hAnsi="Times New Roman" w:cs="Times New Roman"/>
          <w:color w:val="000000" w:themeColor="text1"/>
        </w:rPr>
      </w:pPr>
      <w:r w:rsidRPr="00BB7C15">
        <w:rPr>
          <w:rFonts w:ascii="Times New Roman" w:hAnsi="Times New Roman" w:cs="Times New Roman"/>
          <w:color w:val="000000" w:themeColor="text1"/>
        </w:rPr>
        <w:t>Supplementary Table S</w:t>
      </w:r>
      <w:r>
        <w:rPr>
          <w:rFonts w:ascii="Times New Roman" w:hAnsi="Times New Roman" w:cs="Times New Roman"/>
          <w:color w:val="000000" w:themeColor="text1"/>
        </w:rPr>
        <w:t>3</w:t>
      </w:r>
      <w:r w:rsidRPr="00BB7C15">
        <w:rPr>
          <w:rFonts w:ascii="Times New Roman" w:hAnsi="Times New Roman" w:cs="Times New Roman"/>
          <w:color w:val="000000" w:themeColor="text1"/>
        </w:rPr>
        <w:t>: Statistics single-polygenic score models</w:t>
      </w:r>
    </w:p>
    <w:p w14:paraId="247A838E" w14:textId="77777777" w:rsidR="00BB7C15" w:rsidRPr="00BB7C15" w:rsidRDefault="00BB7C15" w:rsidP="00BB7C15">
      <w:pPr>
        <w:pStyle w:val="ListParagraph"/>
        <w:rPr>
          <w:rFonts w:ascii="Times New Roman" w:hAnsi="Times New Roman" w:cs="Times New Roman"/>
          <w:color w:val="000000" w:themeColor="text1"/>
        </w:rPr>
      </w:pPr>
    </w:p>
    <w:p w14:paraId="0B15AB51" w14:textId="77777777" w:rsidR="00BB7C15" w:rsidRPr="00BB7C15" w:rsidRDefault="00BB7C15" w:rsidP="00BB7C15">
      <w:pPr>
        <w:pStyle w:val="ListParagraph"/>
        <w:rPr>
          <w:rFonts w:ascii="Times New Roman" w:hAnsi="Times New Roman" w:cs="Times New Roman"/>
          <w:bCs/>
          <w:color w:val="000000" w:themeColor="text1"/>
        </w:rPr>
      </w:pPr>
    </w:p>
    <w:p w14:paraId="5959F5E6" w14:textId="77777777" w:rsidR="00BB7C15" w:rsidRPr="00BB7C15" w:rsidRDefault="00BB7C15" w:rsidP="00BB7C15">
      <w:pPr>
        <w:rPr>
          <w:rFonts w:ascii="Times New Roman" w:hAnsi="Times New Roman" w:cs="Times New Roman"/>
          <w:b/>
          <w:color w:val="000000" w:themeColor="text1"/>
        </w:rPr>
      </w:pPr>
      <w:r w:rsidRPr="00BB7C15">
        <w:rPr>
          <w:rFonts w:ascii="Times New Roman" w:hAnsi="Times New Roman" w:cs="Times New Roman"/>
          <w:b/>
          <w:color w:val="000000" w:themeColor="text1"/>
        </w:rPr>
        <w:t xml:space="preserve">Supplementary Notes </w:t>
      </w:r>
    </w:p>
    <w:p w14:paraId="6B3B7096" w14:textId="77777777" w:rsidR="00BB7C15" w:rsidRPr="00BB7C15" w:rsidRDefault="00BB7C15" w:rsidP="00BB7C15">
      <w:pPr>
        <w:rPr>
          <w:rFonts w:ascii="Times New Roman" w:hAnsi="Times New Roman" w:cs="Times New Roman"/>
          <w:b/>
          <w:color w:val="000000" w:themeColor="text1"/>
        </w:rPr>
      </w:pPr>
    </w:p>
    <w:p w14:paraId="625B2A3E" w14:textId="5F5F46E4" w:rsidR="00BB7C15" w:rsidRPr="00BB7C15" w:rsidRDefault="00BB7C15" w:rsidP="00BB7C15">
      <w:pPr>
        <w:pStyle w:val="ListParagraph"/>
        <w:numPr>
          <w:ilvl w:val="0"/>
          <w:numId w:val="4"/>
        </w:numPr>
        <w:rPr>
          <w:rFonts w:ascii="Times New Roman" w:hAnsi="Times New Roman" w:cs="Times New Roman"/>
          <w:color w:val="000000" w:themeColor="text1"/>
        </w:rPr>
      </w:pPr>
      <w:r w:rsidRPr="00BB7C15">
        <w:rPr>
          <w:rFonts w:ascii="Times New Roman" w:hAnsi="Times New Roman" w:cs="Times New Roman"/>
          <w:color w:val="000000" w:themeColor="text1"/>
        </w:rPr>
        <w:t xml:space="preserve">Supplementary Methods S1: </w:t>
      </w:r>
      <w:r w:rsidR="006A57BE" w:rsidRPr="006A57BE">
        <w:rPr>
          <w:rFonts w:ascii="Times New Roman" w:eastAsia="Times New Roman" w:hAnsi="Times New Roman" w:cs="Times New Roman"/>
          <w:color w:val="000000"/>
          <w:kern w:val="0"/>
          <w:lang w:eastAsia="en-GB"/>
          <w14:ligatures w14:val="none"/>
        </w:rPr>
        <w:t>Summary statistics used to conduct polygenic scores</w:t>
      </w:r>
    </w:p>
    <w:p w14:paraId="67923A4D" w14:textId="77777777" w:rsidR="006A57BE" w:rsidRDefault="00BB7C15" w:rsidP="006A57BE">
      <w:pPr>
        <w:pStyle w:val="ListParagraph"/>
        <w:numPr>
          <w:ilvl w:val="0"/>
          <w:numId w:val="4"/>
        </w:numPr>
        <w:rPr>
          <w:rFonts w:ascii="Times New Roman" w:hAnsi="Times New Roman" w:cs="Times New Roman"/>
          <w:color w:val="000000" w:themeColor="text1"/>
        </w:rPr>
      </w:pPr>
      <w:r w:rsidRPr="00BB7C15">
        <w:rPr>
          <w:rFonts w:ascii="Times New Roman" w:hAnsi="Times New Roman" w:cs="Times New Roman"/>
          <w:color w:val="000000" w:themeColor="text1"/>
        </w:rPr>
        <w:t>Supplementary Methods S2: Description of polygenic score creation</w:t>
      </w:r>
    </w:p>
    <w:p w14:paraId="1D18E129" w14:textId="707F8806" w:rsidR="00BB7C15" w:rsidRPr="006A57BE" w:rsidRDefault="00BB7C15" w:rsidP="006A57BE">
      <w:pPr>
        <w:pStyle w:val="ListParagraph"/>
        <w:numPr>
          <w:ilvl w:val="0"/>
          <w:numId w:val="4"/>
        </w:numPr>
        <w:rPr>
          <w:rFonts w:ascii="Times New Roman" w:hAnsi="Times New Roman" w:cs="Times New Roman"/>
          <w:color w:val="000000" w:themeColor="text1"/>
        </w:rPr>
      </w:pPr>
      <w:r w:rsidRPr="006A57BE">
        <w:rPr>
          <w:rFonts w:ascii="Times New Roman" w:hAnsi="Times New Roman" w:cs="Times New Roman"/>
          <w:color w:val="000000" w:themeColor="text1"/>
        </w:rPr>
        <w:t xml:space="preserve">Supplementary Methods S3: </w:t>
      </w:r>
      <w:r w:rsidR="006A57BE" w:rsidRPr="006A57BE">
        <w:rPr>
          <w:rFonts w:ascii="Times New Roman" w:eastAsia="Times New Roman" w:hAnsi="Times New Roman" w:cs="Times New Roman"/>
          <w:color w:val="000000"/>
          <w:kern w:val="0"/>
          <w:lang w:eastAsia="en-GB"/>
          <w14:ligatures w14:val="none"/>
        </w:rPr>
        <w:t>Description of Multiple Imputation of the Phenotypic Data</w:t>
      </w:r>
    </w:p>
    <w:p w14:paraId="5E82A9C0" w14:textId="77777777" w:rsidR="00BB7C15" w:rsidRPr="00BB7C15" w:rsidRDefault="00BB7C15" w:rsidP="00BB7C15">
      <w:pPr>
        <w:pStyle w:val="ListParagraph"/>
        <w:numPr>
          <w:ilvl w:val="0"/>
          <w:numId w:val="4"/>
        </w:numPr>
        <w:rPr>
          <w:rFonts w:ascii="Times New Roman" w:hAnsi="Times New Roman" w:cs="Times New Roman"/>
          <w:color w:val="000000" w:themeColor="text1"/>
        </w:rPr>
      </w:pPr>
      <w:r w:rsidRPr="00BB7C15">
        <w:rPr>
          <w:rFonts w:ascii="Times New Roman" w:hAnsi="Times New Roman" w:cs="Times New Roman"/>
          <w:color w:val="000000" w:themeColor="text1"/>
        </w:rPr>
        <w:t>Supplementary References</w:t>
      </w:r>
    </w:p>
    <w:p w14:paraId="06E6C17F" w14:textId="36F0910C" w:rsidR="00BB7C15" w:rsidRPr="00BB7C15" w:rsidRDefault="00BB7C15" w:rsidP="00BB7C15">
      <w:pPr>
        <w:pStyle w:val="ListParagraph"/>
        <w:numPr>
          <w:ilvl w:val="0"/>
          <w:numId w:val="4"/>
        </w:numPr>
        <w:rPr>
          <w:color w:val="000000" w:themeColor="text1"/>
          <w:sz w:val="22"/>
          <w:szCs w:val="22"/>
        </w:rPr>
        <w:sectPr w:rsidR="00BB7C15" w:rsidRPr="00BB7C15" w:rsidSect="00677A10">
          <w:pgSz w:w="11906" w:h="16838"/>
          <w:pgMar w:top="1440" w:right="1440" w:bottom="1440" w:left="1440" w:header="708" w:footer="708" w:gutter="0"/>
          <w:pgNumType w:start="2"/>
          <w:cols w:space="708"/>
          <w:docGrid w:linePitch="360"/>
        </w:sectPr>
      </w:pPr>
      <w:r w:rsidRPr="00BB7C15">
        <w:rPr>
          <w:rFonts w:ascii="Times New Roman" w:hAnsi="Times New Roman" w:cs="Times New Roman"/>
          <w:color w:val="000000" w:themeColor="text1"/>
        </w:rPr>
        <w:t>Extended Acknowledgements</w:t>
      </w:r>
      <w:r w:rsidRPr="00D674DA">
        <w:rPr>
          <w:color w:val="000000" w:themeColor="text1"/>
          <w:sz w:val="22"/>
          <w:szCs w:val="22"/>
        </w:rPr>
        <w:t xml:space="preserve"> </w:t>
      </w:r>
    </w:p>
    <w:p w14:paraId="530AF57D" w14:textId="2E493071" w:rsidR="001736A3" w:rsidRPr="001736A3" w:rsidRDefault="00E73C68" w:rsidP="001736A3">
      <w:pPr>
        <w:spacing w:line="480" w:lineRule="auto"/>
        <w:rPr>
          <w:b/>
          <w:bCs/>
          <w:noProof/>
          <w:shd w:val="clear" w:color="auto" w:fill="FFFFFF"/>
        </w:rPr>
      </w:pPr>
      <w:r>
        <w:rPr>
          <w:b/>
          <w:bCs/>
          <w:noProof/>
          <w:shd w:val="clear" w:color="auto" w:fill="FFFFFF"/>
        </w:rPr>
        <w:lastRenderedPageBreak/>
        <w:drawing>
          <wp:inline distT="0" distB="0" distL="0" distR="0" wp14:anchorId="467C249E" wp14:editId="3C2CE5DE">
            <wp:extent cx="5731510" cy="2743200"/>
            <wp:effectExtent l="0" t="0" r="0" b="0"/>
            <wp:docPr id="1375006188" name="Picture 1"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06188" name="Picture 1" descr="A graph with different colore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4046" cy="2749200"/>
                    </a:xfrm>
                    <a:prstGeom prst="rect">
                      <a:avLst/>
                    </a:prstGeom>
                  </pic:spPr>
                </pic:pic>
              </a:graphicData>
            </a:graphic>
          </wp:inline>
        </w:drawing>
      </w:r>
    </w:p>
    <w:p w14:paraId="4B6453BB" w14:textId="3F28C347" w:rsidR="00E73C68" w:rsidRDefault="00E73C68" w:rsidP="00E73C68">
      <w:pPr>
        <w:rPr>
          <w:rFonts w:ascii="Times New Roman" w:eastAsia="Times New Roman" w:hAnsi="Times New Roman" w:cs="Times New Roman"/>
          <w:b/>
          <w:bCs/>
          <w:kern w:val="0"/>
          <w:shd w:val="clear" w:color="auto" w:fill="FFFFFF"/>
          <w:lang w:eastAsia="en-GB"/>
          <w14:ligatures w14:val="none"/>
        </w:rPr>
      </w:pPr>
      <w:r>
        <w:rPr>
          <w:rFonts w:ascii="Times New Roman" w:eastAsia="Times New Roman" w:hAnsi="Times New Roman" w:cs="Times New Roman"/>
          <w:b/>
          <w:bCs/>
          <w:kern w:val="0"/>
          <w:shd w:val="clear" w:color="auto" w:fill="FFFFFF"/>
          <w:lang w:eastAsia="en-GB"/>
          <w14:ligatures w14:val="none"/>
        </w:rPr>
        <w:t xml:space="preserve">Supplementary Figure </w:t>
      </w:r>
      <w:r w:rsidR="00BB7C15">
        <w:rPr>
          <w:rFonts w:ascii="Times New Roman" w:eastAsia="Times New Roman" w:hAnsi="Times New Roman" w:cs="Times New Roman"/>
          <w:b/>
          <w:bCs/>
          <w:kern w:val="0"/>
          <w:shd w:val="clear" w:color="auto" w:fill="FFFFFF"/>
          <w:lang w:eastAsia="en-GB"/>
          <w14:ligatures w14:val="none"/>
        </w:rPr>
        <w:t>S1</w:t>
      </w:r>
      <w:r>
        <w:rPr>
          <w:rFonts w:ascii="Times New Roman" w:eastAsia="Times New Roman" w:hAnsi="Times New Roman" w:cs="Times New Roman"/>
          <w:b/>
          <w:bCs/>
          <w:kern w:val="0"/>
          <w:shd w:val="clear" w:color="auto" w:fill="FFFFFF"/>
          <w:lang w:eastAsia="en-GB"/>
          <w14:ligatures w14:val="none"/>
        </w:rPr>
        <w:t>. (a) Density and Box-and-whisker plots comparing distributions of complete and imputed data for anxiety scores at age 8</w:t>
      </w:r>
    </w:p>
    <w:p w14:paraId="6A9C89F6" w14:textId="62ED1156" w:rsidR="00E73C68" w:rsidRDefault="00E73C68" w:rsidP="00E73C68">
      <w:pPr>
        <w:tabs>
          <w:tab w:val="left" w:pos="1274"/>
        </w:tabs>
        <w:rPr>
          <w:b/>
          <w:bCs/>
          <w:noProof/>
          <w:shd w:val="clear" w:color="auto" w:fill="FFFFFF"/>
        </w:rPr>
      </w:pPr>
    </w:p>
    <w:p w14:paraId="560108D6" w14:textId="52C2B231" w:rsidR="00E73C68" w:rsidRDefault="00E73C68" w:rsidP="00E73C68">
      <w:pPr>
        <w:tabs>
          <w:tab w:val="left" w:pos="1274"/>
        </w:tabs>
        <w:rPr>
          <w:b/>
          <w:bCs/>
          <w:noProof/>
          <w:shd w:val="clear" w:color="auto" w:fill="FFFFFF"/>
        </w:rPr>
      </w:pPr>
      <w:r>
        <w:rPr>
          <w:rFonts w:ascii="Times New Roman" w:eastAsia="Times New Roman" w:hAnsi="Times New Roman" w:cs="Times New Roman"/>
          <w:b/>
          <w:bCs/>
          <w:noProof/>
          <w:kern w:val="0"/>
          <w:shd w:val="clear" w:color="auto" w:fill="FFFFFF"/>
          <w:lang w:eastAsia="en-GB"/>
        </w:rPr>
        <w:drawing>
          <wp:inline distT="0" distB="0" distL="0" distR="0" wp14:anchorId="123AD6C6" wp14:editId="2869EC9B">
            <wp:extent cx="5731510" cy="3580130"/>
            <wp:effectExtent l="0" t="0" r="0" b="1270"/>
            <wp:docPr id="1820459291" name="Picture 4"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59291" name="Picture 4" descr="A graph with different colored lin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580130"/>
                    </a:xfrm>
                    <a:prstGeom prst="rect">
                      <a:avLst/>
                    </a:prstGeom>
                  </pic:spPr>
                </pic:pic>
              </a:graphicData>
            </a:graphic>
          </wp:inline>
        </w:drawing>
      </w:r>
    </w:p>
    <w:p w14:paraId="1EF48127" w14:textId="19D85083" w:rsidR="00E73C68" w:rsidRDefault="00E73C68" w:rsidP="00E73C68">
      <w:pPr>
        <w:rPr>
          <w:rFonts w:ascii="Times New Roman" w:eastAsia="Times New Roman" w:hAnsi="Times New Roman" w:cs="Times New Roman"/>
          <w:b/>
          <w:bCs/>
          <w:kern w:val="0"/>
          <w:shd w:val="clear" w:color="auto" w:fill="FFFFFF"/>
          <w:lang w:eastAsia="en-GB"/>
          <w14:ligatures w14:val="none"/>
        </w:rPr>
      </w:pPr>
      <w:r>
        <w:rPr>
          <w:rFonts w:ascii="Times New Roman" w:eastAsia="Times New Roman" w:hAnsi="Times New Roman" w:cs="Times New Roman"/>
          <w:b/>
          <w:bCs/>
          <w:kern w:val="0"/>
          <w:shd w:val="clear" w:color="auto" w:fill="FFFFFF"/>
          <w:lang w:eastAsia="en-GB"/>
          <w14:ligatures w14:val="none"/>
        </w:rPr>
        <w:t xml:space="preserve">Supplementary Figure </w:t>
      </w:r>
      <w:r w:rsidR="00BB7C15">
        <w:rPr>
          <w:rFonts w:ascii="Times New Roman" w:eastAsia="Times New Roman" w:hAnsi="Times New Roman" w:cs="Times New Roman"/>
          <w:b/>
          <w:bCs/>
          <w:kern w:val="0"/>
          <w:shd w:val="clear" w:color="auto" w:fill="FFFFFF"/>
          <w:lang w:eastAsia="en-GB"/>
          <w14:ligatures w14:val="none"/>
        </w:rPr>
        <w:t>S1</w:t>
      </w:r>
      <w:r>
        <w:rPr>
          <w:rFonts w:ascii="Times New Roman" w:eastAsia="Times New Roman" w:hAnsi="Times New Roman" w:cs="Times New Roman"/>
          <w:b/>
          <w:bCs/>
          <w:kern w:val="0"/>
          <w:shd w:val="clear" w:color="auto" w:fill="FFFFFF"/>
          <w:lang w:eastAsia="en-GB"/>
          <w14:ligatures w14:val="none"/>
        </w:rPr>
        <w:t>. (b) Density and Box-and-whisker plots comparing distributions of complete and imputed data for anxiety scores at age 14</w:t>
      </w:r>
    </w:p>
    <w:p w14:paraId="56DD2467" w14:textId="77777777" w:rsidR="00E73C68" w:rsidRDefault="00E73C68" w:rsidP="00E73C68">
      <w:pPr>
        <w:rPr>
          <w:rFonts w:ascii="Times New Roman" w:eastAsia="Times New Roman" w:hAnsi="Times New Roman" w:cs="Times New Roman"/>
          <w:color w:val="000000"/>
          <w:kern w:val="0"/>
          <w:lang w:eastAsia="en-GB"/>
          <w14:ligatures w14:val="none"/>
        </w:rPr>
      </w:pPr>
    </w:p>
    <w:p w14:paraId="7ACA3A40" w14:textId="77777777" w:rsidR="00E73C68" w:rsidRDefault="00E73C68" w:rsidP="00E73C68">
      <w:pPr>
        <w:rPr>
          <w:rFonts w:ascii="Times New Roman" w:eastAsia="Times New Roman" w:hAnsi="Times New Roman" w:cs="Times New Roman"/>
          <w:color w:val="000000"/>
          <w:kern w:val="0"/>
          <w:lang w:eastAsia="en-GB"/>
          <w14:ligatures w14:val="none"/>
        </w:rPr>
      </w:pPr>
    </w:p>
    <w:p w14:paraId="448544DC" w14:textId="77777777" w:rsidR="00E73C68" w:rsidRDefault="00E73C68" w:rsidP="00E73C68">
      <w:pPr>
        <w:rPr>
          <w:rFonts w:ascii="Times New Roman" w:eastAsia="Times New Roman" w:hAnsi="Times New Roman" w:cs="Times New Roman"/>
          <w:color w:val="000000"/>
          <w:kern w:val="0"/>
          <w:lang w:eastAsia="en-GB"/>
          <w14:ligatures w14:val="none"/>
        </w:rPr>
      </w:pPr>
    </w:p>
    <w:p w14:paraId="31E80FD1" w14:textId="77777777" w:rsidR="00E73C68" w:rsidRDefault="00E73C68" w:rsidP="00E73C68">
      <w:pPr>
        <w:rPr>
          <w:rFonts w:ascii="Times New Roman" w:eastAsia="Times New Roman" w:hAnsi="Times New Roman" w:cs="Times New Roman"/>
          <w:color w:val="000000"/>
          <w:kern w:val="0"/>
          <w:lang w:eastAsia="en-GB"/>
          <w14:ligatures w14:val="none"/>
        </w:rPr>
      </w:pPr>
    </w:p>
    <w:p w14:paraId="3B070093" w14:textId="77777777" w:rsidR="00E73C68" w:rsidRDefault="00E73C68" w:rsidP="00E73C68">
      <w:pPr>
        <w:rPr>
          <w:rFonts w:ascii="Times New Roman" w:eastAsia="Times New Roman" w:hAnsi="Times New Roman" w:cs="Times New Roman"/>
          <w:color w:val="000000"/>
          <w:kern w:val="0"/>
          <w:lang w:eastAsia="en-GB"/>
          <w14:ligatures w14:val="none"/>
        </w:rPr>
      </w:pPr>
    </w:p>
    <w:p w14:paraId="27E8F639" w14:textId="77777777" w:rsidR="00E73C68" w:rsidRDefault="00E73C68" w:rsidP="00E73C68">
      <w:pPr>
        <w:rPr>
          <w:rFonts w:ascii="Times New Roman" w:eastAsia="Times New Roman" w:hAnsi="Times New Roman" w:cs="Times New Roman"/>
          <w:color w:val="000000"/>
          <w:kern w:val="0"/>
          <w:lang w:eastAsia="en-GB"/>
          <w14:ligatures w14:val="none"/>
        </w:rPr>
      </w:pPr>
    </w:p>
    <w:p w14:paraId="79804679" w14:textId="77777777" w:rsidR="00E73C68" w:rsidRDefault="00E73C68" w:rsidP="00E73C68">
      <w:pPr>
        <w:rPr>
          <w:rFonts w:ascii="Times New Roman" w:eastAsia="Times New Roman" w:hAnsi="Times New Roman" w:cs="Times New Roman"/>
          <w:color w:val="000000"/>
          <w:kern w:val="0"/>
          <w:lang w:eastAsia="en-GB"/>
          <w14:ligatures w14:val="none"/>
        </w:rPr>
      </w:pPr>
    </w:p>
    <w:p w14:paraId="65130640" w14:textId="77777777" w:rsidR="00E73C68" w:rsidRDefault="00E73C68" w:rsidP="00E73C68">
      <w:pPr>
        <w:rPr>
          <w:rFonts w:ascii="Times New Roman" w:eastAsia="Times New Roman" w:hAnsi="Times New Roman" w:cs="Times New Roman"/>
          <w:color w:val="000000"/>
          <w:kern w:val="0"/>
          <w:lang w:eastAsia="en-GB"/>
          <w14:ligatures w14:val="none"/>
        </w:rPr>
      </w:pPr>
    </w:p>
    <w:p w14:paraId="3ABE220A" w14:textId="77777777" w:rsidR="00E73C68" w:rsidRDefault="00E73C68" w:rsidP="00E73C68">
      <w:pPr>
        <w:tabs>
          <w:tab w:val="left" w:pos="1008"/>
        </w:tabs>
        <w:rPr>
          <w:noProof/>
          <w:lang w:eastAsia="en-GB"/>
        </w:rPr>
      </w:pPr>
    </w:p>
    <w:p w14:paraId="22BD8876" w14:textId="77777777" w:rsidR="00E73C68" w:rsidRDefault="00E73C68" w:rsidP="00347054">
      <w:pPr>
        <w:spacing w:line="480" w:lineRule="auto"/>
        <w:rPr>
          <w:noProof/>
          <w:lang w:eastAsia="en-GB"/>
        </w:rPr>
      </w:pPr>
      <w:r>
        <w:rPr>
          <w:noProof/>
          <w:lang w:eastAsia="en-GB"/>
        </w:rPr>
        <w:drawing>
          <wp:inline distT="0" distB="0" distL="0" distR="0" wp14:anchorId="601E357C" wp14:editId="0B14E8A0">
            <wp:extent cx="5731510" cy="3503930"/>
            <wp:effectExtent l="0" t="0" r="0" b="1270"/>
            <wp:docPr id="965965991" name="Picture 2"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5991" name="Picture 2" descr="A graph of a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503930"/>
                    </a:xfrm>
                    <a:prstGeom prst="rect">
                      <a:avLst/>
                    </a:prstGeom>
                  </pic:spPr>
                </pic:pic>
              </a:graphicData>
            </a:graphic>
          </wp:inline>
        </w:drawing>
      </w:r>
    </w:p>
    <w:p w14:paraId="568AFF54" w14:textId="1A9583A4" w:rsidR="00E73C68" w:rsidRDefault="00E73C68" w:rsidP="00E73C68">
      <w:pPr>
        <w:rPr>
          <w:rFonts w:ascii="Times New Roman" w:eastAsia="Times New Roman" w:hAnsi="Times New Roman" w:cs="Times New Roman"/>
          <w:b/>
          <w:bCs/>
          <w:kern w:val="0"/>
          <w:shd w:val="clear" w:color="auto" w:fill="FFFFFF"/>
          <w:lang w:eastAsia="en-GB"/>
          <w14:ligatures w14:val="none"/>
        </w:rPr>
      </w:pPr>
      <w:r>
        <w:rPr>
          <w:rFonts w:ascii="Times New Roman" w:eastAsia="Times New Roman" w:hAnsi="Times New Roman" w:cs="Times New Roman"/>
          <w:b/>
          <w:bCs/>
          <w:kern w:val="0"/>
          <w:shd w:val="clear" w:color="auto" w:fill="FFFFFF"/>
          <w:lang w:eastAsia="en-GB"/>
          <w14:ligatures w14:val="none"/>
        </w:rPr>
        <w:t xml:space="preserve">Supplementary Figure </w:t>
      </w:r>
      <w:r w:rsidR="00BB7C15">
        <w:rPr>
          <w:rFonts w:ascii="Times New Roman" w:eastAsia="Times New Roman" w:hAnsi="Times New Roman" w:cs="Times New Roman"/>
          <w:b/>
          <w:bCs/>
          <w:kern w:val="0"/>
          <w:shd w:val="clear" w:color="auto" w:fill="FFFFFF"/>
          <w:lang w:eastAsia="en-GB"/>
          <w14:ligatures w14:val="none"/>
        </w:rPr>
        <w:t>S1</w:t>
      </w:r>
      <w:r>
        <w:rPr>
          <w:rFonts w:ascii="Times New Roman" w:eastAsia="Times New Roman" w:hAnsi="Times New Roman" w:cs="Times New Roman"/>
          <w:b/>
          <w:bCs/>
          <w:kern w:val="0"/>
          <w:shd w:val="clear" w:color="auto" w:fill="FFFFFF"/>
          <w:lang w:eastAsia="en-GB"/>
          <w14:ligatures w14:val="none"/>
        </w:rPr>
        <w:t>. (c) Density and Box-and-whisker plots comparing distributions of complete and imputed data for depression scores at age 8</w:t>
      </w:r>
    </w:p>
    <w:p w14:paraId="50C28E9B" w14:textId="77777777" w:rsidR="00E73C68" w:rsidRDefault="00E73C68" w:rsidP="00E73C68">
      <w:pPr>
        <w:rPr>
          <w:rFonts w:ascii="Times New Roman" w:eastAsia="Times New Roman" w:hAnsi="Times New Roman" w:cs="Times New Roman"/>
          <w:b/>
          <w:bCs/>
          <w:kern w:val="0"/>
          <w:shd w:val="clear" w:color="auto" w:fill="FFFFFF"/>
          <w:lang w:eastAsia="en-GB"/>
          <w14:ligatures w14:val="none"/>
        </w:rPr>
      </w:pPr>
    </w:p>
    <w:p w14:paraId="295B65A4" w14:textId="6CB00B43" w:rsidR="00E73C68" w:rsidRDefault="00E73C68" w:rsidP="00E73C68">
      <w:pPr>
        <w:rPr>
          <w:rFonts w:ascii="Times New Roman" w:eastAsia="Times New Roman" w:hAnsi="Times New Roman" w:cs="Times New Roman"/>
          <w:b/>
          <w:bCs/>
          <w:kern w:val="0"/>
          <w:shd w:val="clear" w:color="auto" w:fill="FFFFFF"/>
          <w:lang w:eastAsia="en-GB"/>
          <w14:ligatures w14:val="none"/>
        </w:rPr>
      </w:pPr>
      <w:r>
        <w:rPr>
          <w:noProof/>
          <w:lang w:eastAsia="en-GB"/>
        </w:rPr>
        <w:drawing>
          <wp:inline distT="0" distB="0" distL="0" distR="0" wp14:anchorId="38AD0C2A" wp14:editId="1607E45D">
            <wp:extent cx="5731510" cy="3938905"/>
            <wp:effectExtent l="0" t="0" r="0" b="0"/>
            <wp:docPr id="395594999" name="Picture 5"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94999" name="Picture 5" descr="A graph of a graph&#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3938905"/>
                    </a:xfrm>
                    <a:prstGeom prst="rect">
                      <a:avLst/>
                    </a:prstGeom>
                  </pic:spPr>
                </pic:pic>
              </a:graphicData>
            </a:graphic>
          </wp:inline>
        </w:drawing>
      </w:r>
    </w:p>
    <w:p w14:paraId="6CD71D7E" w14:textId="74E7DA14" w:rsidR="00E73C68" w:rsidRPr="00E73C68" w:rsidRDefault="00E73C68" w:rsidP="00E73C68">
      <w:pPr>
        <w:rPr>
          <w:rFonts w:ascii="Times New Roman" w:eastAsia="Times New Roman" w:hAnsi="Times New Roman" w:cs="Times New Roman"/>
          <w:b/>
          <w:bCs/>
          <w:kern w:val="0"/>
          <w:shd w:val="clear" w:color="auto" w:fill="FFFFFF"/>
          <w:lang w:eastAsia="en-GB"/>
          <w14:ligatures w14:val="none"/>
        </w:rPr>
      </w:pPr>
      <w:r>
        <w:rPr>
          <w:rFonts w:ascii="Times New Roman" w:eastAsia="Times New Roman" w:hAnsi="Times New Roman" w:cs="Times New Roman"/>
          <w:b/>
          <w:bCs/>
          <w:kern w:val="0"/>
          <w:shd w:val="clear" w:color="auto" w:fill="FFFFFF"/>
          <w:lang w:eastAsia="en-GB"/>
          <w14:ligatures w14:val="none"/>
        </w:rPr>
        <w:t xml:space="preserve">Supplementary Figure </w:t>
      </w:r>
      <w:r w:rsidR="00BB7C15">
        <w:rPr>
          <w:rFonts w:ascii="Times New Roman" w:eastAsia="Times New Roman" w:hAnsi="Times New Roman" w:cs="Times New Roman"/>
          <w:b/>
          <w:bCs/>
          <w:kern w:val="0"/>
          <w:shd w:val="clear" w:color="auto" w:fill="FFFFFF"/>
          <w:lang w:eastAsia="en-GB"/>
          <w14:ligatures w14:val="none"/>
        </w:rPr>
        <w:t>S1</w:t>
      </w:r>
      <w:r>
        <w:rPr>
          <w:rFonts w:ascii="Times New Roman" w:eastAsia="Times New Roman" w:hAnsi="Times New Roman" w:cs="Times New Roman"/>
          <w:b/>
          <w:bCs/>
          <w:kern w:val="0"/>
          <w:shd w:val="clear" w:color="auto" w:fill="FFFFFF"/>
          <w:lang w:eastAsia="en-GB"/>
          <w14:ligatures w14:val="none"/>
        </w:rPr>
        <w:t>. (d) Density and Box-and-whisker plots comparing distributions of complete and imputed data for depression scores at age 14</w:t>
      </w:r>
    </w:p>
    <w:p w14:paraId="18763643" w14:textId="77777777" w:rsidR="00E73C68" w:rsidRDefault="00E73C68" w:rsidP="00E73C68">
      <w:pPr>
        <w:rPr>
          <w:rFonts w:ascii="Times New Roman" w:eastAsia="Times New Roman" w:hAnsi="Times New Roman" w:cs="Times New Roman"/>
          <w:sz w:val="20"/>
          <w:szCs w:val="20"/>
          <w:lang w:eastAsia="en-GB"/>
        </w:rPr>
      </w:pPr>
    </w:p>
    <w:p w14:paraId="76D16037" w14:textId="6827F63B" w:rsidR="00E73C68" w:rsidRPr="00E73C68" w:rsidRDefault="00E73C68" w:rsidP="00E73C68">
      <w:pPr>
        <w:rPr>
          <w:rFonts w:ascii="Times New Roman" w:eastAsia="Times New Roman" w:hAnsi="Times New Roman" w:cs="Times New Roman"/>
          <w:sz w:val="20"/>
          <w:szCs w:val="20"/>
          <w:lang w:eastAsia="en-GB"/>
        </w:rPr>
        <w:sectPr w:rsidR="00E73C68" w:rsidRPr="00E73C68" w:rsidSect="007034E6">
          <w:pgSz w:w="11906" w:h="16838"/>
          <w:pgMar w:top="1440" w:right="1440" w:bottom="1440" w:left="1440" w:header="708" w:footer="708" w:gutter="0"/>
          <w:cols w:space="708"/>
          <w:docGrid w:linePitch="360"/>
        </w:sectPr>
      </w:pPr>
    </w:p>
    <w:p w14:paraId="29BB9E16" w14:textId="5A25C5B9" w:rsidR="00343967" w:rsidRDefault="00A10D82" w:rsidP="00B532CC">
      <w:pPr>
        <w:spacing w:line="48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lastRenderedPageBreak/>
        <w:drawing>
          <wp:inline distT="0" distB="0" distL="0" distR="0" wp14:anchorId="761F3AAC" wp14:editId="4F9EED39">
            <wp:extent cx="8863330" cy="3642360"/>
            <wp:effectExtent l="0" t="0" r="1270" b="2540"/>
            <wp:docPr id="1425820946"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20946" name="Picture 1" descr="A close-up of a cha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63330" cy="3642360"/>
                    </a:xfrm>
                    <a:prstGeom prst="rect">
                      <a:avLst/>
                    </a:prstGeom>
                  </pic:spPr>
                </pic:pic>
              </a:graphicData>
            </a:graphic>
          </wp:inline>
        </w:drawing>
      </w:r>
    </w:p>
    <w:p w14:paraId="2631BDB0" w14:textId="2B126C66" w:rsidR="00347054" w:rsidRPr="000A060E" w:rsidRDefault="00343967" w:rsidP="00B532CC">
      <w:pPr>
        <w:spacing w:line="480" w:lineRule="auto"/>
        <w:rPr>
          <w:rFonts w:ascii="Times New Roman" w:eastAsia="Times New Roman" w:hAnsi="Times New Roman" w:cs="Times New Roman"/>
          <w:b/>
          <w:bCs/>
          <w:color w:val="000000"/>
          <w:kern w:val="0"/>
          <w:lang w:eastAsia="en-GB"/>
          <w14:ligatures w14:val="none"/>
        </w:rPr>
        <w:sectPr w:rsidR="00347054" w:rsidRPr="000A060E" w:rsidSect="00343967">
          <w:pgSz w:w="16838" w:h="11906" w:orient="landscape"/>
          <w:pgMar w:top="1440" w:right="1440" w:bottom="1440" w:left="1440" w:header="708" w:footer="708" w:gutter="0"/>
          <w:cols w:space="708"/>
          <w:docGrid w:linePitch="360"/>
        </w:sectPr>
      </w:pPr>
      <w:r w:rsidRPr="000A060E">
        <w:rPr>
          <w:rFonts w:ascii="Times New Roman" w:eastAsia="Times New Roman" w:hAnsi="Times New Roman" w:cs="Times New Roman"/>
          <w:b/>
          <w:bCs/>
          <w:color w:val="000000"/>
          <w:kern w:val="0"/>
          <w:lang w:eastAsia="en-GB"/>
          <w14:ligatures w14:val="none"/>
        </w:rPr>
        <w:t xml:space="preserve">Supplementary Figure </w:t>
      </w:r>
      <w:r w:rsidR="00BB7C15">
        <w:rPr>
          <w:rFonts w:ascii="Times New Roman" w:eastAsia="Times New Roman" w:hAnsi="Times New Roman" w:cs="Times New Roman"/>
          <w:b/>
          <w:bCs/>
          <w:color w:val="000000"/>
          <w:kern w:val="0"/>
          <w:lang w:eastAsia="en-GB"/>
          <w14:ligatures w14:val="none"/>
        </w:rPr>
        <w:t>S2</w:t>
      </w:r>
      <w:r w:rsidRPr="000A060E">
        <w:rPr>
          <w:rFonts w:ascii="Times New Roman" w:eastAsia="Times New Roman" w:hAnsi="Times New Roman" w:cs="Times New Roman"/>
          <w:b/>
          <w:bCs/>
          <w:color w:val="000000"/>
          <w:kern w:val="0"/>
          <w:lang w:eastAsia="en-GB"/>
          <w14:ligatures w14:val="none"/>
        </w:rPr>
        <w:t>.</w:t>
      </w:r>
      <w:r w:rsidR="000A060E">
        <w:rPr>
          <w:rFonts w:ascii="Times New Roman" w:eastAsia="Times New Roman" w:hAnsi="Times New Roman" w:cs="Times New Roman"/>
          <w:b/>
          <w:bCs/>
          <w:color w:val="000000"/>
          <w:kern w:val="0"/>
          <w:lang w:eastAsia="en-GB"/>
          <w14:ligatures w14:val="none"/>
        </w:rPr>
        <w:t xml:space="preserve"> </w:t>
      </w:r>
      <w:r w:rsidR="000A060E">
        <w:rPr>
          <w:rFonts w:ascii="Times New Roman" w:hAnsi="Times New Roman" w:cs="Times New Roman"/>
          <w:b/>
          <w:bCs/>
          <w:color w:val="222222"/>
          <w:shd w:val="clear" w:color="auto" w:fill="FFFFFF"/>
        </w:rPr>
        <w:t>A</w:t>
      </w:r>
      <w:r w:rsidR="000A060E" w:rsidRPr="000A060E">
        <w:rPr>
          <w:rFonts w:ascii="Times New Roman" w:hAnsi="Times New Roman" w:cs="Times New Roman"/>
          <w:b/>
          <w:bCs/>
          <w:color w:val="222222"/>
          <w:shd w:val="clear" w:color="auto" w:fill="FFFFFF"/>
        </w:rPr>
        <w:t xml:space="preserve"> visual overview of the single-</w:t>
      </w:r>
      <w:r w:rsidR="000A060E">
        <w:rPr>
          <w:rFonts w:ascii="Times New Roman" w:hAnsi="Times New Roman" w:cs="Times New Roman"/>
          <w:b/>
          <w:bCs/>
          <w:color w:val="222222"/>
          <w:shd w:val="clear" w:color="auto" w:fill="FFFFFF"/>
        </w:rPr>
        <w:t xml:space="preserve">polygenic </w:t>
      </w:r>
      <w:r w:rsidR="000A060E" w:rsidRPr="000A060E">
        <w:rPr>
          <w:rFonts w:ascii="Times New Roman" w:hAnsi="Times New Roman" w:cs="Times New Roman"/>
          <w:b/>
          <w:bCs/>
          <w:color w:val="222222"/>
          <w:shd w:val="clear" w:color="auto" w:fill="FFFFFF"/>
        </w:rPr>
        <w:t>score model</w:t>
      </w:r>
      <w:r w:rsidR="000A060E">
        <w:rPr>
          <w:rFonts w:ascii="Times New Roman" w:hAnsi="Times New Roman" w:cs="Times New Roman"/>
          <w:b/>
          <w:bCs/>
          <w:color w:val="222222"/>
          <w:shd w:val="clear" w:color="auto" w:fill="FFFFFF"/>
        </w:rPr>
        <w:t>s</w:t>
      </w:r>
      <w:r w:rsidR="000A060E" w:rsidRPr="000A060E">
        <w:rPr>
          <w:rFonts w:ascii="Times New Roman" w:hAnsi="Times New Roman" w:cs="Times New Roman"/>
          <w:b/>
          <w:bCs/>
          <w:color w:val="222222"/>
          <w:shd w:val="clear" w:color="auto" w:fill="FFFFFF"/>
        </w:rPr>
        <w:t xml:space="preserve"> </w:t>
      </w:r>
    </w:p>
    <w:tbl>
      <w:tblPr>
        <w:tblStyle w:val="TableGrid"/>
        <w:tblW w:w="11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17"/>
        <w:gridCol w:w="1010"/>
        <w:gridCol w:w="902"/>
        <w:gridCol w:w="1528"/>
        <w:gridCol w:w="879"/>
        <w:gridCol w:w="1652"/>
      </w:tblGrid>
      <w:tr w:rsidR="00BB7C15" w:rsidRPr="00792B39" w14:paraId="53FAF44E" w14:textId="77777777" w:rsidTr="00792B39">
        <w:trPr>
          <w:trHeight w:val="284"/>
          <w:jc w:val="center"/>
        </w:trPr>
        <w:tc>
          <w:tcPr>
            <w:tcW w:w="11482" w:type="dxa"/>
            <w:gridSpan w:val="7"/>
            <w:tcBorders>
              <w:bottom w:val="single" w:sz="4" w:space="0" w:color="auto"/>
            </w:tcBorders>
          </w:tcPr>
          <w:p w14:paraId="3E68C283" w14:textId="109C2249" w:rsidR="00BB7C15" w:rsidRPr="00792B39" w:rsidRDefault="00BB7C15" w:rsidP="00D0734C">
            <w:pPr>
              <w:spacing w:line="480" w:lineRule="auto"/>
              <w:rPr>
                <w:rFonts w:asciiTheme="majorBidi" w:eastAsia="Times New Roman" w:hAnsiTheme="majorBidi" w:cstheme="majorBidi"/>
                <w:b/>
                <w:bCs/>
                <w:color w:val="000000"/>
                <w:kern w:val="0"/>
                <w:sz w:val="16"/>
                <w:szCs w:val="16"/>
                <w:lang w:eastAsia="en-GB"/>
                <w14:ligatures w14:val="none"/>
              </w:rPr>
            </w:pPr>
            <w:r w:rsidRPr="00792B39">
              <w:rPr>
                <w:rFonts w:asciiTheme="majorBidi" w:eastAsia="Times New Roman" w:hAnsiTheme="majorBidi" w:cstheme="majorBidi"/>
                <w:b/>
                <w:bCs/>
                <w:color w:val="000000"/>
                <w:kern w:val="0"/>
                <w:sz w:val="16"/>
                <w:szCs w:val="16"/>
                <w:lang w:eastAsia="en-GB"/>
                <w14:ligatures w14:val="none"/>
              </w:rPr>
              <w:lastRenderedPageBreak/>
              <w:t>Supplementary Table S1. Genome-wide association study summary statistics used to compute polygenic scores</w:t>
            </w:r>
          </w:p>
        </w:tc>
      </w:tr>
      <w:tr w:rsidR="00A50986" w:rsidRPr="00792B39" w14:paraId="2406E187" w14:textId="77777777" w:rsidTr="00792B39">
        <w:trPr>
          <w:jc w:val="center"/>
        </w:trPr>
        <w:tc>
          <w:tcPr>
            <w:tcW w:w="2694" w:type="dxa"/>
            <w:tcBorders>
              <w:top w:val="single" w:sz="4" w:space="0" w:color="auto"/>
              <w:bottom w:val="single" w:sz="4" w:space="0" w:color="auto"/>
            </w:tcBorders>
          </w:tcPr>
          <w:p w14:paraId="5D7B3092" w14:textId="77777777" w:rsidR="00BB7C15" w:rsidRPr="00792B39" w:rsidRDefault="00BB7C15" w:rsidP="00A50986">
            <w:pPr>
              <w:spacing w:line="480" w:lineRule="auto"/>
              <w:rPr>
                <w:rFonts w:asciiTheme="majorBidi" w:eastAsia="Times New Roman" w:hAnsiTheme="majorBidi" w:cstheme="majorBidi"/>
                <w:b/>
                <w:bCs/>
                <w:color w:val="000000"/>
                <w:kern w:val="0"/>
                <w:sz w:val="16"/>
                <w:szCs w:val="16"/>
                <w:lang w:eastAsia="en-GB"/>
                <w14:ligatures w14:val="none"/>
              </w:rPr>
            </w:pPr>
            <w:r w:rsidRPr="00792B39">
              <w:rPr>
                <w:rFonts w:asciiTheme="majorBidi" w:eastAsia="Times New Roman" w:hAnsiTheme="majorBidi" w:cstheme="majorBidi"/>
                <w:b/>
                <w:bCs/>
                <w:color w:val="000000"/>
                <w:kern w:val="0"/>
                <w:sz w:val="16"/>
                <w:szCs w:val="16"/>
                <w:lang w:eastAsia="en-GB"/>
                <w14:ligatures w14:val="none"/>
              </w:rPr>
              <w:t>phenotype</w:t>
            </w:r>
          </w:p>
        </w:tc>
        <w:tc>
          <w:tcPr>
            <w:tcW w:w="2817" w:type="dxa"/>
            <w:tcBorders>
              <w:top w:val="single" w:sz="4" w:space="0" w:color="auto"/>
              <w:bottom w:val="single" w:sz="4" w:space="0" w:color="auto"/>
            </w:tcBorders>
          </w:tcPr>
          <w:p w14:paraId="5A0341E1" w14:textId="77777777" w:rsidR="00BB7C15" w:rsidRPr="00792B39" w:rsidRDefault="00BB7C15" w:rsidP="00A50986">
            <w:pPr>
              <w:spacing w:line="480" w:lineRule="auto"/>
              <w:rPr>
                <w:rFonts w:asciiTheme="majorBidi" w:eastAsia="Times New Roman" w:hAnsiTheme="majorBidi" w:cstheme="majorBidi"/>
                <w:b/>
                <w:bCs/>
                <w:color w:val="000000"/>
                <w:kern w:val="0"/>
                <w:sz w:val="16"/>
                <w:szCs w:val="16"/>
                <w:lang w:eastAsia="en-GB"/>
                <w14:ligatures w14:val="none"/>
              </w:rPr>
            </w:pPr>
            <w:r w:rsidRPr="00792B39">
              <w:rPr>
                <w:rFonts w:asciiTheme="majorBidi" w:eastAsia="Times New Roman" w:hAnsiTheme="majorBidi" w:cstheme="majorBidi"/>
                <w:b/>
                <w:bCs/>
                <w:color w:val="000000"/>
                <w:kern w:val="0"/>
                <w:sz w:val="16"/>
                <w:szCs w:val="16"/>
                <w:lang w:eastAsia="en-GB"/>
                <w14:ligatures w14:val="none"/>
              </w:rPr>
              <w:t>Study</w:t>
            </w:r>
          </w:p>
        </w:tc>
        <w:tc>
          <w:tcPr>
            <w:tcW w:w="1010" w:type="dxa"/>
            <w:tcBorders>
              <w:top w:val="single" w:sz="4" w:space="0" w:color="auto"/>
              <w:bottom w:val="single" w:sz="4" w:space="0" w:color="auto"/>
            </w:tcBorders>
          </w:tcPr>
          <w:p w14:paraId="4A0343B5" w14:textId="77777777" w:rsidR="00BB7C15" w:rsidRPr="00792B39" w:rsidRDefault="00BB7C15" w:rsidP="00D0734C">
            <w:pPr>
              <w:spacing w:line="480" w:lineRule="auto"/>
              <w:jc w:val="center"/>
              <w:rPr>
                <w:rFonts w:asciiTheme="majorBidi" w:eastAsia="Times New Roman" w:hAnsiTheme="majorBidi" w:cstheme="majorBidi"/>
                <w:b/>
                <w:bCs/>
                <w:i/>
                <w:iCs/>
                <w:color w:val="000000"/>
                <w:kern w:val="0"/>
                <w:sz w:val="16"/>
                <w:szCs w:val="16"/>
                <w:lang w:eastAsia="en-GB"/>
                <w14:ligatures w14:val="none"/>
              </w:rPr>
            </w:pPr>
            <w:r w:rsidRPr="00792B39">
              <w:rPr>
                <w:rFonts w:asciiTheme="majorBidi" w:eastAsia="Times New Roman" w:hAnsiTheme="majorBidi" w:cstheme="majorBidi"/>
                <w:b/>
                <w:bCs/>
                <w:i/>
                <w:iCs/>
                <w:color w:val="000000"/>
                <w:kern w:val="0"/>
                <w:sz w:val="16"/>
                <w:szCs w:val="16"/>
                <w:lang w:eastAsia="en-GB"/>
                <w14:ligatures w14:val="none"/>
              </w:rPr>
              <w:t>N</w:t>
            </w:r>
          </w:p>
        </w:tc>
        <w:tc>
          <w:tcPr>
            <w:tcW w:w="902" w:type="dxa"/>
            <w:tcBorders>
              <w:top w:val="single" w:sz="4" w:space="0" w:color="auto"/>
              <w:bottom w:val="single" w:sz="4" w:space="0" w:color="auto"/>
            </w:tcBorders>
          </w:tcPr>
          <w:p w14:paraId="7A4950F7" w14:textId="0230AD10" w:rsidR="00BB7C15" w:rsidRPr="00792B39" w:rsidRDefault="006A57BE" w:rsidP="00D0734C">
            <w:pPr>
              <w:spacing w:line="480" w:lineRule="auto"/>
              <w:jc w:val="center"/>
              <w:rPr>
                <w:rFonts w:asciiTheme="majorBidi" w:eastAsia="Times New Roman" w:hAnsiTheme="majorBidi" w:cstheme="majorBidi"/>
                <w:b/>
                <w:bCs/>
                <w:i/>
                <w:iCs/>
                <w:color w:val="000000"/>
                <w:kern w:val="0"/>
                <w:sz w:val="16"/>
                <w:szCs w:val="16"/>
                <w:lang w:eastAsia="en-GB"/>
                <w14:ligatures w14:val="none"/>
              </w:rPr>
            </w:pPr>
            <w:r w:rsidRPr="00792B39">
              <w:rPr>
                <w:rFonts w:asciiTheme="majorBidi" w:eastAsia="Times New Roman" w:hAnsiTheme="majorBidi" w:cstheme="majorBidi"/>
                <w:b/>
                <w:bCs/>
                <w:i/>
                <w:iCs/>
                <w:color w:val="000000"/>
                <w:kern w:val="0"/>
                <w:sz w:val="16"/>
                <w:szCs w:val="16"/>
                <w:lang w:eastAsia="en-GB"/>
                <w14:ligatures w14:val="none"/>
              </w:rPr>
              <w:t>N_SNP</w:t>
            </w:r>
          </w:p>
        </w:tc>
        <w:tc>
          <w:tcPr>
            <w:tcW w:w="1528" w:type="dxa"/>
            <w:tcBorders>
              <w:top w:val="single" w:sz="4" w:space="0" w:color="auto"/>
              <w:bottom w:val="single" w:sz="4" w:space="0" w:color="auto"/>
            </w:tcBorders>
          </w:tcPr>
          <w:p w14:paraId="69B4083E" w14:textId="1799D86F" w:rsidR="00BB7C15" w:rsidRPr="00792B39" w:rsidRDefault="00200FF2" w:rsidP="00D0734C">
            <w:pPr>
              <w:spacing w:line="480" w:lineRule="auto"/>
              <w:jc w:val="center"/>
              <w:rPr>
                <w:rFonts w:asciiTheme="majorBidi" w:eastAsia="Times New Roman" w:hAnsiTheme="majorBidi" w:cstheme="majorBidi"/>
                <w:b/>
                <w:bCs/>
                <w:i/>
                <w:iCs/>
                <w:color w:val="000000"/>
                <w:kern w:val="0"/>
                <w:sz w:val="16"/>
                <w:szCs w:val="16"/>
                <w:lang w:eastAsia="en-GB"/>
                <w14:ligatures w14:val="none"/>
              </w:rPr>
            </w:pPr>
            <w:r w:rsidRPr="00792B39">
              <w:rPr>
                <w:rFonts w:asciiTheme="majorBidi" w:eastAsia="Times New Roman" w:hAnsiTheme="majorBidi" w:cstheme="majorBidi"/>
                <w:b/>
                <w:bCs/>
                <w:i/>
                <w:iCs/>
                <w:color w:val="000000"/>
                <w:kern w:val="0"/>
                <w:sz w:val="16"/>
                <w:szCs w:val="16"/>
                <w:lang w:eastAsia="en-GB"/>
                <w14:ligatures w14:val="none"/>
              </w:rPr>
              <w:t>SNP-</w:t>
            </w:r>
            <w:r w:rsidRPr="00792B39">
              <w:rPr>
                <w:rFonts w:asciiTheme="majorBidi" w:eastAsia="Times New Roman" w:hAnsiTheme="majorBidi" w:cstheme="majorBidi"/>
                <w:b/>
                <w:bCs/>
                <w:i/>
                <w:iCs/>
                <w:color w:val="1C1D1E"/>
                <w:kern w:val="0"/>
                <w:sz w:val="16"/>
                <w:szCs w:val="16"/>
                <w:shd w:val="clear" w:color="auto" w:fill="FFFFFF"/>
                <w:lang w:eastAsia="en-GB"/>
                <w14:ligatures w14:val="none"/>
              </w:rPr>
              <w:t>h</w:t>
            </w:r>
            <w:r w:rsidRPr="00792B39">
              <w:rPr>
                <w:rFonts w:asciiTheme="majorBidi" w:eastAsia="Times New Roman" w:hAnsiTheme="majorBidi" w:cstheme="majorBidi"/>
                <w:b/>
                <w:bCs/>
                <w:i/>
                <w:iCs/>
                <w:color w:val="1C1D1E"/>
                <w:kern w:val="0"/>
                <w:sz w:val="16"/>
                <w:szCs w:val="16"/>
                <w:shd w:val="clear" w:color="auto" w:fill="FFFFFF"/>
                <w:vertAlign w:val="superscript"/>
                <w:lang w:eastAsia="en-GB"/>
                <w14:ligatures w14:val="none"/>
              </w:rPr>
              <w:t>2</w:t>
            </w:r>
          </w:p>
        </w:tc>
        <w:tc>
          <w:tcPr>
            <w:tcW w:w="879" w:type="dxa"/>
            <w:tcBorders>
              <w:top w:val="single" w:sz="4" w:space="0" w:color="auto"/>
              <w:bottom w:val="single" w:sz="4" w:space="0" w:color="auto"/>
            </w:tcBorders>
          </w:tcPr>
          <w:p w14:paraId="3AAD1DBF" w14:textId="61855895" w:rsidR="00BB7C15" w:rsidRPr="00792B39" w:rsidRDefault="00200FF2" w:rsidP="00D0734C">
            <w:pPr>
              <w:spacing w:line="480" w:lineRule="auto"/>
              <w:jc w:val="center"/>
              <w:rPr>
                <w:rFonts w:asciiTheme="majorBidi" w:eastAsia="Times New Roman" w:hAnsiTheme="majorBidi" w:cstheme="majorBidi"/>
                <w:b/>
                <w:bCs/>
                <w:i/>
                <w:iCs/>
                <w:color w:val="000000"/>
                <w:kern w:val="0"/>
                <w:sz w:val="16"/>
                <w:szCs w:val="16"/>
                <w:lang w:eastAsia="en-GB"/>
                <w14:ligatures w14:val="none"/>
              </w:rPr>
            </w:pPr>
            <w:r w:rsidRPr="00792B39">
              <w:rPr>
                <w:rFonts w:asciiTheme="majorBidi" w:eastAsia="Times New Roman" w:hAnsiTheme="majorBidi" w:cstheme="majorBidi"/>
                <w:b/>
                <w:bCs/>
                <w:i/>
                <w:iCs/>
                <w:color w:val="000000"/>
                <w:kern w:val="0"/>
                <w:sz w:val="16"/>
                <w:szCs w:val="16"/>
                <w:lang w:eastAsia="en-GB"/>
                <w14:ligatures w14:val="none"/>
              </w:rPr>
              <w:t>SE</w:t>
            </w:r>
          </w:p>
        </w:tc>
        <w:tc>
          <w:tcPr>
            <w:tcW w:w="1652" w:type="dxa"/>
            <w:tcBorders>
              <w:top w:val="single" w:sz="4" w:space="0" w:color="auto"/>
              <w:bottom w:val="single" w:sz="4" w:space="0" w:color="auto"/>
            </w:tcBorders>
          </w:tcPr>
          <w:p w14:paraId="1E5AFF75" w14:textId="1F6F0B08" w:rsidR="00BB7C15" w:rsidRPr="00792B39" w:rsidRDefault="006A57BE" w:rsidP="00D0734C">
            <w:pPr>
              <w:spacing w:line="480" w:lineRule="auto"/>
              <w:jc w:val="center"/>
              <w:rPr>
                <w:rFonts w:asciiTheme="majorBidi" w:eastAsia="Times New Roman" w:hAnsiTheme="majorBidi" w:cstheme="majorBidi"/>
                <w:b/>
                <w:bCs/>
                <w:i/>
                <w:iCs/>
                <w:color w:val="000000"/>
                <w:kern w:val="0"/>
                <w:sz w:val="16"/>
                <w:szCs w:val="16"/>
                <w:lang w:eastAsia="en-GB"/>
                <w14:ligatures w14:val="none"/>
              </w:rPr>
            </w:pPr>
            <w:r w:rsidRPr="00792B39">
              <w:rPr>
                <w:rFonts w:asciiTheme="majorBidi" w:eastAsia="Times New Roman" w:hAnsiTheme="majorBidi" w:cstheme="majorBidi"/>
                <w:b/>
                <w:bCs/>
                <w:i/>
                <w:iCs/>
                <w:color w:val="000000"/>
                <w:kern w:val="0"/>
                <w:sz w:val="16"/>
                <w:szCs w:val="16"/>
                <w:lang w:eastAsia="en-GB"/>
                <w14:ligatures w14:val="none"/>
              </w:rPr>
              <w:t>PMID</w:t>
            </w:r>
          </w:p>
        </w:tc>
      </w:tr>
      <w:tr w:rsidR="00A50986" w:rsidRPr="00792B39" w14:paraId="51186566" w14:textId="77777777" w:rsidTr="00792B39">
        <w:trPr>
          <w:jc w:val="center"/>
        </w:trPr>
        <w:tc>
          <w:tcPr>
            <w:tcW w:w="2694" w:type="dxa"/>
            <w:tcBorders>
              <w:top w:val="single" w:sz="4" w:space="0" w:color="auto"/>
            </w:tcBorders>
          </w:tcPr>
          <w:p w14:paraId="3706D076" w14:textId="77777777"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Educational attainment</w:t>
            </w:r>
          </w:p>
        </w:tc>
        <w:tc>
          <w:tcPr>
            <w:tcW w:w="2817" w:type="dxa"/>
            <w:tcBorders>
              <w:top w:val="single" w:sz="4" w:space="0" w:color="auto"/>
            </w:tcBorders>
          </w:tcPr>
          <w:p w14:paraId="1B77FF3C" w14:textId="77447E47" w:rsidR="00315A3A" w:rsidRPr="00792B39" w:rsidRDefault="00315A3A" w:rsidP="00315A3A">
            <w:pPr>
              <w:pStyle w:val="NormalWeb"/>
              <w:rPr>
                <w:rFonts w:asciiTheme="majorBidi" w:hAnsiTheme="majorBidi" w:cstheme="majorBidi"/>
                <w:sz w:val="16"/>
                <w:szCs w:val="16"/>
              </w:rPr>
            </w:pPr>
            <w:r w:rsidRPr="00792B39">
              <w:rPr>
                <w:rFonts w:asciiTheme="majorBidi" w:hAnsiTheme="majorBidi" w:cstheme="majorBidi"/>
                <w:color w:val="000000"/>
                <w:sz w:val="16"/>
                <w:szCs w:val="16"/>
              </w:rPr>
              <w:t xml:space="preserve">Okbay </w:t>
            </w:r>
            <w:r w:rsidRPr="00792B39">
              <w:rPr>
                <w:rFonts w:asciiTheme="majorBidi" w:hAnsiTheme="majorBidi" w:cstheme="majorBidi"/>
                <w:i/>
                <w:iCs/>
                <w:sz w:val="16"/>
                <w:szCs w:val="16"/>
              </w:rPr>
              <w:t>et al</w:t>
            </w:r>
            <w:r w:rsidRPr="00792B39">
              <w:rPr>
                <w:rFonts w:asciiTheme="majorBidi" w:hAnsiTheme="majorBidi" w:cstheme="majorBidi"/>
                <w:sz w:val="16"/>
                <w:szCs w:val="16"/>
              </w:rPr>
              <w:t>. (2022)</w:t>
            </w:r>
          </w:p>
          <w:p w14:paraId="65875565" w14:textId="77777777"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Borders>
              <w:top w:val="single" w:sz="4" w:space="0" w:color="auto"/>
            </w:tcBorders>
          </w:tcPr>
          <w:p w14:paraId="13E3F12A" w14:textId="130727B8" w:rsidR="00315A3A" w:rsidRPr="00792B39" w:rsidRDefault="00AA166D"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765,283</w:t>
            </w:r>
          </w:p>
        </w:tc>
        <w:tc>
          <w:tcPr>
            <w:tcW w:w="902" w:type="dxa"/>
            <w:tcBorders>
              <w:top w:val="single" w:sz="4" w:space="0" w:color="auto"/>
            </w:tcBorders>
          </w:tcPr>
          <w:p w14:paraId="2AA79A32" w14:textId="0038F9D8"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3,952</w:t>
            </w:r>
          </w:p>
        </w:tc>
        <w:tc>
          <w:tcPr>
            <w:tcW w:w="1528" w:type="dxa"/>
            <w:tcBorders>
              <w:top w:val="single" w:sz="4" w:space="0" w:color="auto"/>
            </w:tcBorders>
          </w:tcPr>
          <w:p w14:paraId="7AD34401" w14:textId="2612A187"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0.132</w:t>
            </w:r>
          </w:p>
        </w:tc>
        <w:tc>
          <w:tcPr>
            <w:tcW w:w="879" w:type="dxa"/>
            <w:tcBorders>
              <w:top w:val="single" w:sz="4" w:space="0" w:color="auto"/>
            </w:tcBorders>
          </w:tcPr>
          <w:p w14:paraId="15E4E462" w14:textId="496DDC0C"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0.008</w:t>
            </w:r>
          </w:p>
        </w:tc>
        <w:tc>
          <w:tcPr>
            <w:tcW w:w="1652" w:type="dxa"/>
            <w:tcBorders>
              <w:top w:val="single" w:sz="4" w:space="0" w:color="auto"/>
            </w:tcBorders>
          </w:tcPr>
          <w:p w14:paraId="091A4D69" w14:textId="708AE887"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35361970</w:t>
            </w:r>
          </w:p>
        </w:tc>
      </w:tr>
      <w:tr w:rsidR="00A50986" w:rsidRPr="00792B39" w14:paraId="0F571F1E" w14:textId="77777777" w:rsidTr="00792B39">
        <w:trPr>
          <w:jc w:val="center"/>
        </w:trPr>
        <w:tc>
          <w:tcPr>
            <w:tcW w:w="2694" w:type="dxa"/>
          </w:tcPr>
          <w:p w14:paraId="2FF6D2FF" w14:textId="77777777"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BMI</w:t>
            </w:r>
          </w:p>
        </w:tc>
        <w:tc>
          <w:tcPr>
            <w:tcW w:w="2817" w:type="dxa"/>
          </w:tcPr>
          <w:p w14:paraId="2B094B6B" w14:textId="77777777"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Yengo et al., (2018)</w:t>
            </w:r>
          </w:p>
        </w:tc>
        <w:tc>
          <w:tcPr>
            <w:tcW w:w="1010" w:type="dxa"/>
          </w:tcPr>
          <w:p w14:paraId="1E9F05FD" w14:textId="03754436"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681,275</w:t>
            </w:r>
          </w:p>
        </w:tc>
        <w:tc>
          <w:tcPr>
            <w:tcW w:w="902" w:type="dxa"/>
          </w:tcPr>
          <w:p w14:paraId="55B584A3" w14:textId="0C4344FC"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3,290</w:t>
            </w:r>
          </w:p>
        </w:tc>
        <w:tc>
          <w:tcPr>
            <w:tcW w:w="1528" w:type="dxa"/>
          </w:tcPr>
          <w:p w14:paraId="2FAE573A" w14:textId="6D280210"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0.060</w:t>
            </w:r>
          </w:p>
        </w:tc>
        <w:tc>
          <w:tcPr>
            <w:tcW w:w="879" w:type="dxa"/>
          </w:tcPr>
          <w:p w14:paraId="4E552921" w14:textId="169FA023"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652" w:type="dxa"/>
          </w:tcPr>
          <w:p w14:paraId="3417C7C2" w14:textId="4529A9F8"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30124842</w:t>
            </w:r>
          </w:p>
        </w:tc>
      </w:tr>
      <w:tr w:rsidR="00A50986" w:rsidRPr="00792B39" w14:paraId="1D5BDB65" w14:textId="77777777" w:rsidTr="00792B39">
        <w:trPr>
          <w:jc w:val="center"/>
        </w:trPr>
        <w:tc>
          <w:tcPr>
            <w:tcW w:w="2694" w:type="dxa"/>
          </w:tcPr>
          <w:p w14:paraId="1C5179DF" w14:textId="77777777"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Number of sexual partners</w:t>
            </w:r>
          </w:p>
        </w:tc>
        <w:tc>
          <w:tcPr>
            <w:tcW w:w="2817" w:type="dxa"/>
          </w:tcPr>
          <w:p w14:paraId="7CBD2DC9" w14:textId="6829F5E2" w:rsidR="00315A3A" w:rsidRPr="00792B39" w:rsidRDefault="00315A3A" w:rsidP="00315A3A">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sz w:val="16"/>
                <w:szCs w:val="16"/>
                <w:lang w:eastAsia="en-GB"/>
              </w:rPr>
              <w:t xml:space="preserve">Karlsson </w:t>
            </w:r>
            <w:r w:rsidRPr="00792B39">
              <w:rPr>
                <w:rFonts w:asciiTheme="majorBidi" w:eastAsia="Times New Roman" w:hAnsiTheme="majorBidi" w:cstheme="majorBidi"/>
                <w:color w:val="212121"/>
                <w:sz w:val="16"/>
                <w:szCs w:val="16"/>
                <w:lang w:eastAsia="en-GB"/>
              </w:rPr>
              <w:t>Linnér et al. (2019)</w:t>
            </w:r>
          </w:p>
        </w:tc>
        <w:tc>
          <w:tcPr>
            <w:tcW w:w="1010" w:type="dxa"/>
          </w:tcPr>
          <w:p w14:paraId="009266B1" w14:textId="77777777"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370,711</w:t>
            </w:r>
          </w:p>
        </w:tc>
        <w:tc>
          <w:tcPr>
            <w:tcW w:w="902" w:type="dxa"/>
          </w:tcPr>
          <w:p w14:paraId="0B7A52B8" w14:textId="41088C49"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38</w:t>
            </w:r>
          </w:p>
        </w:tc>
        <w:tc>
          <w:tcPr>
            <w:tcW w:w="1528" w:type="dxa"/>
          </w:tcPr>
          <w:p w14:paraId="6EC41C15" w14:textId="7EB74208"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0.058</w:t>
            </w:r>
          </w:p>
        </w:tc>
        <w:tc>
          <w:tcPr>
            <w:tcW w:w="879" w:type="dxa"/>
          </w:tcPr>
          <w:p w14:paraId="747642A8" w14:textId="32B27AFD"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0.003</w:t>
            </w:r>
          </w:p>
        </w:tc>
        <w:tc>
          <w:tcPr>
            <w:tcW w:w="1652" w:type="dxa"/>
          </w:tcPr>
          <w:p w14:paraId="77E81433" w14:textId="30F4F6E5" w:rsidR="00315A3A" w:rsidRPr="00792B39" w:rsidRDefault="00315A3A" w:rsidP="00315A3A">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30643258</w:t>
            </w:r>
          </w:p>
        </w:tc>
      </w:tr>
      <w:tr w:rsidR="00A50986" w:rsidRPr="00792B39" w14:paraId="47F738D4" w14:textId="77777777" w:rsidTr="00792B39">
        <w:trPr>
          <w:jc w:val="center"/>
        </w:trPr>
        <w:tc>
          <w:tcPr>
            <w:tcW w:w="2694" w:type="dxa"/>
          </w:tcPr>
          <w:p w14:paraId="67FC76B3"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Age at first sex</w:t>
            </w:r>
          </w:p>
        </w:tc>
        <w:tc>
          <w:tcPr>
            <w:tcW w:w="2817" w:type="dxa"/>
          </w:tcPr>
          <w:p w14:paraId="5B629608" w14:textId="40647003"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sz w:val="16"/>
                <w:szCs w:val="16"/>
                <w:lang w:eastAsia="en-GB"/>
              </w:rPr>
              <w:t xml:space="preserve">Karlsson </w:t>
            </w:r>
            <w:r w:rsidRPr="00792B39">
              <w:rPr>
                <w:rFonts w:asciiTheme="majorBidi" w:eastAsia="Times New Roman" w:hAnsiTheme="majorBidi" w:cstheme="majorBidi"/>
                <w:color w:val="212121"/>
                <w:sz w:val="16"/>
                <w:szCs w:val="16"/>
                <w:lang w:eastAsia="en-GB"/>
              </w:rPr>
              <w:t>Linnér et al.</w:t>
            </w:r>
            <w:r w:rsidR="00A50986" w:rsidRPr="00792B39">
              <w:rPr>
                <w:rFonts w:asciiTheme="majorBidi" w:eastAsia="Times New Roman" w:hAnsiTheme="majorBidi" w:cstheme="majorBidi"/>
                <w:color w:val="212121"/>
                <w:sz w:val="16"/>
                <w:szCs w:val="16"/>
                <w:lang w:eastAsia="en-GB"/>
              </w:rPr>
              <w:t xml:space="preserve"> </w:t>
            </w:r>
            <w:r w:rsidRPr="00792B39">
              <w:rPr>
                <w:rFonts w:asciiTheme="majorBidi" w:eastAsia="Times New Roman" w:hAnsiTheme="majorBidi" w:cstheme="majorBidi"/>
                <w:color w:val="212121"/>
                <w:sz w:val="16"/>
                <w:szCs w:val="16"/>
                <w:lang w:eastAsia="en-GB"/>
              </w:rPr>
              <w:t>(2019)</w:t>
            </w:r>
          </w:p>
        </w:tc>
        <w:tc>
          <w:tcPr>
            <w:tcW w:w="1010" w:type="dxa"/>
          </w:tcPr>
          <w:p w14:paraId="7022850C" w14:textId="13E2EF2C"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125,667</w:t>
            </w:r>
          </w:p>
        </w:tc>
        <w:tc>
          <w:tcPr>
            <w:tcW w:w="902" w:type="dxa"/>
          </w:tcPr>
          <w:p w14:paraId="77571CE2" w14:textId="1464863E"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38</w:t>
            </w:r>
          </w:p>
        </w:tc>
        <w:tc>
          <w:tcPr>
            <w:tcW w:w="1528" w:type="dxa"/>
          </w:tcPr>
          <w:p w14:paraId="63FC1025" w14:textId="1C523830"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0.058</w:t>
            </w:r>
          </w:p>
        </w:tc>
        <w:tc>
          <w:tcPr>
            <w:tcW w:w="879" w:type="dxa"/>
          </w:tcPr>
          <w:p w14:paraId="580459FF" w14:textId="1942569E"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0.003</w:t>
            </w:r>
          </w:p>
        </w:tc>
        <w:tc>
          <w:tcPr>
            <w:tcW w:w="1652" w:type="dxa"/>
          </w:tcPr>
          <w:p w14:paraId="39FD5D76" w14:textId="142A5E43"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30643258</w:t>
            </w:r>
          </w:p>
        </w:tc>
      </w:tr>
      <w:tr w:rsidR="00A50986" w:rsidRPr="00792B39" w14:paraId="1ED019B8" w14:textId="77777777" w:rsidTr="00792B39">
        <w:trPr>
          <w:jc w:val="center"/>
        </w:trPr>
        <w:tc>
          <w:tcPr>
            <w:tcW w:w="2694" w:type="dxa"/>
          </w:tcPr>
          <w:p w14:paraId="724C095C"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IQ</w:t>
            </w:r>
          </w:p>
        </w:tc>
        <w:tc>
          <w:tcPr>
            <w:tcW w:w="2817" w:type="dxa"/>
          </w:tcPr>
          <w:p w14:paraId="6A100149" w14:textId="448E5C52"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 xml:space="preserve">Savage </w:t>
            </w:r>
            <w:r w:rsidR="00857385" w:rsidRPr="00792B39">
              <w:rPr>
                <w:rFonts w:asciiTheme="majorBidi" w:hAnsiTheme="majorBidi" w:cstheme="majorBidi"/>
                <w:color w:val="000000"/>
                <w:sz w:val="16"/>
                <w:szCs w:val="16"/>
              </w:rPr>
              <w:t xml:space="preserve"> et al. (</w:t>
            </w:r>
            <w:r w:rsidRPr="00792B39">
              <w:rPr>
                <w:rFonts w:asciiTheme="majorBidi" w:hAnsiTheme="majorBidi" w:cstheme="majorBidi"/>
                <w:color w:val="000000"/>
                <w:sz w:val="16"/>
                <w:szCs w:val="16"/>
              </w:rPr>
              <w:t>2018</w:t>
            </w:r>
            <w:r w:rsidR="00857385" w:rsidRPr="00792B39">
              <w:rPr>
                <w:rFonts w:asciiTheme="majorBidi" w:hAnsiTheme="majorBidi" w:cstheme="majorBidi"/>
                <w:color w:val="000000"/>
                <w:sz w:val="16"/>
                <w:szCs w:val="16"/>
              </w:rPr>
              <w:t>)</w:t>
            </w:r>
          </w:p>
        </w:tc>
        <w:tc>
          <w:tcPr>
            <w:tcW w:w="1010" w:type="dxa"/>
          </w:tcPr>
          <w:p w14:paraId="030E38E5" w14:textId="2FE0252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269,867</w:t>
            </w:r>
          </w:p>
        </w:tc>
        <w:tc>
          <w:tcPr>
            <w:tcW w:w="902" w:type="dxa"/>
          </w:tcPr>
          <w:p w14:paraId="53A967D5" w14:textId="3D672C30"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205</w:t>
            </w:r>
            <w:r w:rsidRPr="00792B39">
              <w:rPr>
                <w:rStyle w:val="apple-converted-space"/>
                <w:rFonts w:asciiTheme="majorBidi" w:hAnsiTheme="majorBidi" w:cstheme="majorBidi"/>
                <w:color w:val="000000"/>
                <w:sz w:val="16"/>
                <w:szCs w:val="16"/>
              </w:rPr>
              <w:t> </w:t>
            </w:r>
          </w:p>
        </w:tc>
        <w:tc>
          <w:tcPr>
            <w:tcW w:w="1528" w:type="dxa"/>
          </w:tcPr>
          <w:p w14:paraId="25012A87" w14:textId="73E479C1"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0.19</w:t>
            </w:r>
          </w:p>
        </w:tc>
        <w:tc>
          <w:tcPr>
            <w:tcW w:w="879" w:type="dxa"/>
          </w:tcPr>
          <w:p w14:paraId="38C946D9" w14:textId="651DF2CC"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0.010</w:t>
            </w:r>
          </w:p>
        </w:tc>
        <w:tc>
          <w:tcPr>
            <w:tcW w:w="1652" w:type="dxa"/>
          </w:tcPr>
          <w:p w14:paraId="1CAFC974" w14:textId="72A8CBF5"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29942086</w:t>
            </w:r>
          </w:p>
        </w:tc>
      </w:tr>
      <w:tr w:rsidR="00A50986" w:rsidRPr="00792B39" w14:paraId="64858E1E" w14:textId="77777777" w:rsidTr="00792B39">
        <w:trPr>
          <w:jc w:val="center"/>
        </w:trPr>
        <w:tc>
          <w:tcPr>
            <w:tcW w:w="2694" w:type="dxa"/>
          </w:tcPr>
          <w:p w14:paraId="307772A0"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Cognitive skills</w:t>
            </w:r>
            <w:r w:rsidRPr="00792B39">
              <w:rPr>
                <w:rFonts w:asciiTheme="majorBidi" w:hAnsiTheme="majorBidi" w:cstheme="majorBidi"/>
                <w:color w:val="000000"/>
                <w:sz w:val="16"/>
                <w:szCs w:val="16"/>
                <w:vertAlign w:val="superscript"/>
              </w:rPr>
              <w:t xml:space="preserve"> a</w:t>
            </w:r>
          </w:p>
        </w:tc>
        <w:tc>
          <w:tcPr>
            <w:tcW w:w="2817" w:type="dxa"/>
          </w:tcPr>
          <w:p w14:paraId="7175223D" w14:textId="070EBA87" w:rsidR="00AA166D" w:rsidRPr="00792B39" w:rsidRDefault="00AA166D" w:rsidP="00AA166D">
            <w:pPr>
              <w:pStyle w:val="NormalWeb"/>
              <w:rPr>
                <w:rFonts w:asciiTheme="majorBidi" w:hAnsiTheme="majorBidi" w:cstheme="majorBidi"/>
                <w:sz w:val="16"/>
                <w:szCs w:val="16"/>
              </w:rPr>
            </w:pPr>
            <w:r w:rsidRPr="00792B39">
              <w:rPr>
                <w:rFonts w:asciiTheme="majorBidi" w:hAnsiTheme="majorBidi" w:cstheme="majorBidi"/>
                <w:sz w:val="16"/>
                <w:szCs w:val="16"/>
              </w:rPr>
              <w:t>Demange et al.</w:t>
            </w:r>
            <w:r w:rsidR="00857385" w:rsidRPr="00792B39">
              <w:rPr>
                <w:rFonts w:asciiTheme="majorBidi" w:hAnsiTheme="majorBidi" w:cstheme="majorBidi"/>
                <w:sz w:val="16"/>
                <w:szCs w:val="16"/>
              </w:rPr>
              <w:t xml:space="preserve"> (</w:t>
            </w:r>
            <w:r w:rsidRPr="00792B39">
              <w:rPr>
                <w:rFonts w:asciiTheme="majorBidi" w:hAnsiTheme="majorBidi" w:cstheme="majorBidi"/>
                <w:sz w:val="16"/>
                <w:szCs w:val="16"/>
              </w:rPr>
              <w:t>2021)</w:t>
            </w:r>
          </w:p>
          <w:p w14:paraId="35AF6E41"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Pr>
          <w:p w14:paraId="26258344" w14:textId="4A7B1750"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510,795</w:t>
            </w:r>
          </w:p>
        </w:tc>
        <w:tc>
          <w:tcPr>
            <w:tcW w:w="902" w:type="dxa"/>
          </w:tcPr>
          <w:p w14:paraId="08297E68"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528" w:type="dxa"/>
          </w:tcPr>
          <w:p w14:paraId="3AE2FFD3" w14:textId="0F6EBD09"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0.148</w:t>
            </w:r>
          </w:p>
        </w:tc>
        <w:tc>
          <w:tcPr>
            <w:tcW w:w="879" w:type="dxa"/>
          </w:tcPr>
          <w:p w14:paraId="317D034A" w14:textId="203AFE1B"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w:t>
            </w:r>
            <w:r w:rsidR="00C6567C" w:rsidRPr="00792B39">
              <w:rPr>
                <w:rFonts w:asciiTheme="majorBidi" w:eastAsia="Times New Roman" w:hAnsiTheme="majorBidi" w:cstheme="majorBidi"/>
                <w:color w:val="000000"/>
                <w:kern w:val="0"/>
                <w:sz w:val="16"/>
                <w:szCs w:val="16"/>
                <w:lang w:eastAsia="en-GB"/>
                <w14:ligatures w14:val="none"/>
              </w:rPr>
              <w:t>004</w:t>
            </w:r>
          </w:p>
        </w:tc>
        <w:tc>
          <w:tcPr>
            <w:tcW w:w="1652" w:type="dxa"/>
          </w:tcPr>
          <w:p w14:paraId="23F40C38" w14:textId="52AEEA1B"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33414549</w:t>
            </w:r>
          </w:p>
        </w:tc>
      </w:tr>
      <w:tr w:rsidR="00A50986" w:rsidRPr="00792B39" w14:paraId="5FB3B5E6" w14:textId="77777777" w:rsidTr="00792B39">
        <w:trPr>
          <w:jc w:val="center"/>
        </w:trPr>
        <w:tc>
          <w:tcPr>
            <w:tcW w:w="2694" w:type="dxa"/>
          </w:tcPr>
          <w:p w14:paraId="72AA0391"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Non-cognitive skills</w:t>
            </w:r>
            <w:r w:rsidRPr="00792B39">
              <w:rPr>
                <w:rFonts w:asciiTheme="majorBidi" w:hAnsiTheme="majorBidi" w:cstheme="majorBidi"/>
                <w:color w:val="000000"/>
                <w:sz w:val="16"/>
                <w:szCs w:val="16"/>
                <w:vertAlign w:val="superscript"/>
              </w:rPr>
              <w:t xml:space="preserve"> a</w:t>
            </w:r>
          </w:p>
        </w:tc>
        <w:tc>
          <w:tcPr>
            <w:tcW w:w="2817" w:type="dxa"/>
          </w:tcPr>
          <w:p w14:paraId="720A7002" w14:textId="42BE336F" w:rsidR="00AA166D" w:rsidRPr="00792B39" w:rsidRDefault="00AA166D" w:rsidP="00AA166D">
            <w:pPr>
              <w:pStyle w:val="NormalWeb"/>
              <w:rPr>
                <w:rFonts w:asciiTheme="majorBidi" w:hAnsiTheme="majorBidi" w:cstheme="majorBidi"/>
                <w:sz w:val="16"/>
                <w:szCs w:val="16"/>
              </w:rPr>
            </w:pPr>
            <w:r w:rsidRPr="00792B39">
              <w:rPr>
                <w:rFonts w:asciiTheme="majorBidi" w:hAnsiTheme="majorBidi" w:cstheme="majorBidi"/>
                <w:sz w:val="16"/>
                <w:szCs w:val="16"/>
              </w:rPr>
              <w:t>Demange et al.</w:t>
            </w:r>
            <w:r w:rsidR="00857385" w:rsidRPr="00792B39">
              <w:rPr>
                <w:rFonts w:asciiTheme="majorBidi" w:hAnsiTheme="majorBidi" w:cstheme="majorBidi"/>
                <w:sz w:val="16"/>
                <w:szCs w:val="16"/>
              </w:rPr>
              <w:t xml:space="preserve"> </w:t>
            </w:r>
            <w:r w:rsidRPr="00792B39">
              <w:rPr>
                <w:rFonts w:asciiTheme="majorBidi" w:hAnsiTheme="majorBidi" w:cstheme="majorBidi"/>
                <w:sz w:val="16"/>
                <w:szCs w:val="16"/>
              </w:rPr>
              <w:t>(2021)</w:t>
            </w:r>
          </w:p>
          <w:p w14:paraId="7F57B660" w14:textId="5B5F4C99"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Pr>
          <w:p w14:paraId="62FC85DF" w14:textId="148B8ADF"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510,795</w:t>
            </w:r>
          </w:p>
        </w:tc>
        <w:tc>
          <w:tcPr>
            <w:tcW w:w="902" w:type="dxa"/>
          </w:tcPr>
          <w:p w14:paraId="0CA8A5BD"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528" w:type="dxa"/>
          </w:tcPr>
          <w:p w14:paraId="3CEB0273" w14:textId="062CDCA3"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0.115</w:t>
            </w:r>
          </w:p>
        </w:tc>
        <w:tc>
          <w:tcPr>
            <w:tcW w:w="879" w:type="dxa"/>
          </w:tcPr>
          <w:p w14:paraId="1EC9D7DC" w14:textId="28A09A5C"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w:t>
            </w:r>
            <w:r w:rsidR="00C6567C" w:rsidRPr="00792B39">
              <w:rPr>
                <w:rFonts w:asciiTheme="majorBidi" w:eastAsia="Times New Roman" w:hAnsiTheme="majorBidi" w:cstheme="majorBidi"/>
                <w:color w:val="000000"/>
                <w:kern w:val="0"/>
                <w:sz w:val="16"/>
                <w:szCs w:val="16"/>
                <w:lang w:eastAsia="en-GB"/>
                <w14:ligatures w14:val="none"/>
              </w:rPr>
              <w:t>04</w:t>
            </w:r>
          </w:p>
        </w:tc>
        <w:tc>
          <w:tcPr>
            <w:tcW w:w="1652" w:type="dxa"/>
          </w:tcPr>
          <w:p w14:paraId="406AE3D8" w14:textId="469A7D01"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33414549</w:t>
            </w:r>
          </w:p>
        </w:tc>
      </w:tr>
      <w:tr w:rsidR="00A50986" w:rsidRPr="00792B39" w14:paraId="1D5CAB52" w14:textId="77777777" w:rsidTr="00792B39">
        <w:trPr>
          <w:jc w:val="center"/>
        </w:trPr>
        <w:tc>
          <w:tcPr>
            <w:tcW w:w="2694" w:type="dxa"/>
          </w:tcPr>
          <w:p w14:paraId="0C562FFE"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2817" w:type="dxa"/>
          </w:tcPr>
          <w:p w14:paraId="617BEB47"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Pr>
          <w:p w14:paraId="69FDF1FC"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c>
          <w:tcPr>
            <w:tcW w:w="902" w:type="dxa"/>
          </w:tcPr>
          <w:p w14:paraId="4E393FAA"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c>
          <w:tcPr>
            <w:tcW w:w="1528" w:type="dxa"/>
          </w:tcPr>
          <w:p w14:paraId="054C44E9"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c>
          <w:tcPr>
            <w:tcW w:w="879" w:type="dxa"/>
          </w:tcPr>
          <w:p w14:paraId="59FC648D"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c>
          <w:tcPr>
            <w:tcW w:w="1652" w:type="dxa"/>
          </w:tcPr>
          <w:p w14:paraId="42AA611F"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r>
      <w:tr w:rsidR="00A50986" w:rsidRPr="00792B39" w14:paraId="2660B2E2" w14:textId="77777777" w:rsidTr="00792B39">
        <w:trPr>
          <w:jc w:val="center"/>
        </w:trPr>
        <w:tc>
          <w:tcPr>
            <w:tcW w:w="2694" w:type="dxa"/>
          </w:tcPr>
          <w:p w14:paraId="07252017"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Depression</w:t>
            </w:r>
          </w:p>
        </w:tc>
        <w:tc>
          <w:tcPr>
            <w:tcW w:w="2817" w:type="dxa"/>
          </w:tcPr>
          <w:p w14:paraId="364CC7C8" w14:textId="77777777" w:rsidR="00AA166D" w:rsidRPr="00792B39" w:rsidRDefault="00AA166D" w:rsidP="00AA166D">
            <w:pPr>
              <w:pStyle w:val="NormalWeb"/>
              <w:rPr>
                <w:rFonts w:asciiTheme="majorBidi" w:hAnsiTheme="majorBidi" w:cstheme="majorBidi"/>
                <w:sz w:val="16"/>
                <w:szCs w:val="16"/>
              </w:rPr>
            </w:pPr>
            <w:r w:rsidRPr="00792B39">
              <w:rPr>
                <w:rFonts w:asciiTheme="majorBidi" w:hAnsiTheme="majorBidi" w:cstheme="majorBidi"/>
                <w:sz w:val="16"/>
                <w:szCs w:val="16"/>
              </w:rPr>
              <w:t xml:space="preserve">Howard </w:t>
            </w:r>
            <w:r w:rsidRPr="00792B39">
              <w:rPr>
                <w:rFonts w:asciiTheme="majorBidi" w:hAnsiTheme="majorBidi" w:cstheme="majorBidi"/>
                <w:i/>
                <w:iCs/>
                <w:sz w:val="16"/>
                <w:szCs w:val="16"/>
              </w:rPr>
              <w:t>et al</w:t>
            </w:r>
            <w:r w:rsidRPr="00792B39">
              <w:rPr>
                <w:rFonts w:asciiTheme="majorBidi" w:hAnsiTheme="majorBidi" w:cstheme="majorBidi"/>
                <w:sz w:val="16"/>
                <w:szCs w:val="16"/>
              </w:rPr>
              <w:t xml:space="preserve">. (2019) </w:t>
            </w:r>
          </w:p>
          <w:p w14:paraId="3A990AB0"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Pr>
          <w:p w14:paraId="1C3BE346"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500,199</w:t>
            </w:r>
          </w:p>
        </w:tc>
        <w:tc>
          <w:tcPr>
            <w:tcW w:w="902" w:type="dxa"/>
          </w:tcPr>
          <w:p w14:paraId="408AA608" w14:textId="37D6B172"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102</w:t>
            </w:r>
          </w:p>
        </w:tc>
        <w:tc>
          <w:tcPr>
            <w:tcW w:w="1528" w:type="dxa"/>
          </w:tcPr>
          <w:p w14:paraId="22106430" w14:textId="11355DD1"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0.089</w:t>
            </w:r>
          </w:p>
        </w:tc>
        <w:tc>
          <w:tcPr>
            <w:tcW w:w="879" w:type="dxa"/>
          </w:tcPr>
          <w:p w14:paraId="69E052C3" w14:textId="515DF4F2"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652" w:type="dxa"/>
          </w:tcPr>
          <w:p w14:paraId="5DD3EE10" w14:textId="3051ADA9" w:rsidR="00AA166D" w:rsidRPr="00792B39" w:rsidRDefault="00C6567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30718901</w:t>
            </w:r>
          </w:p>
        </w:tc>
      </w:tr>
      <w:tr w:rsidR="00A50986" w:rsidRPr="00792B39" w14:paraId="62DAA1A0" w14:textId="77777777" w:rsidTr="00792B39">
        <w:trPr>
          <w:jc w:val="center"/>
        </w:trPr>
        <w:tc>
          <w:tcPr>
            <w:tcW w:w="2694" w:type="dxa"/>
          </w:tcPr>
          <w:p w14:paraId="66BB3E1F"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Bipolar disorder</w:t>
            </w:r>
          </w:p>
        </w:tc>
        <w:tc>
          <w:tcPr>
            <w:tcW w:w="2817" w:type="dxa"/>
          </w:tcPr>
          <w:p w14:paraId="3698A85C" w14:textId="24704C1F" w:rsidR="00AA166D" w:rsidRPr="00792B39" w:rsidRDefault="00C6567C"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themeColor="text1"/>
                <w:sz w:val="16"/>
                <w:szCs w:val="16"/>
                <w:shd w:val="clear" w:color="auto" w:fill="FFFFFF"/>
              </w:rPr>
              <w:t>Mullins et al.</w:t>
            </w:r>
            <w:r w:rsidR="00857385" w:rsidRPr="00792B39">
              <w:rPr>
                <w:rFonts w:asciiTheme="majorBidi" w:hAnsiTheme="majorBidi" w:cstheme="majorBidi"/>
                <w:color w:val="000000" w:themeColor="text1"/>
                <w:sz w:val="16"/>
                <w:szCs w:val="16"/>
                <w:shd w:val="clear" w:color="auto" w:fill="FFFFFF"/>
              </w:rPr>
              <w:t xml:space="preserve"> </w:t>
            </w:r>
            <w:r w:rsidRPr="00792B39">
              <w:rPr>
                <w:rFonts w:asciiTheme="majorBidi" w:hAnsiTheme="majorBidi" w:cstheme="majorBidi"/>
                <w:color w:val="000000" w:themeColor="text1"/>
                <w:sz w:val="16"/>
                <w:szCs w:val="16"/>
                <w:shd w:val="clear" w:color="auto" w:fill="FFFFFF"/>
              </w:rPr>
              <w:t>(2021)</w:t>
            </w:r>
          </w:p>
        </w:tc>
        <w:tc>
          <w:tcPr>
            <w:tcW w:w="1010" w:type="dxa"/>
          </w:tcPr>
          <w:p w14:paraId="197FAC63"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413,466</w:t>
            </w:r>
          </w:p>
        </w:tc>
        <w:tc>
          <w:tcPr>
            <w:tcW w:w="902" w:type="dxa"/>
          </w:tcPr>
          <w:p w14:paraId="52051912" w14:textId="790EA589"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64</w:t>
            </w:r>
          </w:p>
        </w:tc>
        <w:tc>
          <w:tcPr>
            <w:tcW w:w="1528" w:type="dxa"/>
          </w:tcPr>
          <w:p w14:paraId="289FAFD7" w14:textId="3E044B32"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0.186</w:t>
            </w:r>
          </w:p>
        </w:tc>
        <w:tc>
          <w:tcPr>
            <w:tcW w:w="879" w:type="dxa"/>
          </w:tcPr>
          <w:p w14:paraId="11299EF4" w14:textId="5A383E19"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0.008</w:t>
            </w:r>
          </w:p>
        </w:tc>
        <w:tc>
          <w:tcPr>
            <w:tcW w:w="1652" w:type="dxa"/>
          </w:tcPr>
          <w:p w14:paraId="04C3B3F0" w14:textId="3F5C60DB"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34002096</w:t>
            </w:r>
          </w:p>
        </w:tc>
      </w:tr>
      <w:tr w:rsidR="00A50986" w:rsidRPr="00792B39" w14:paraId="0989D71B" w14:textId="77777777" w:rsidTr="00792B39">
        <w:trPr>
          <w:jc w:val="center"/>
        </w:trPr>
        <w:tc>
          <w:tcPr>
            <w:tcW w:w="2694" w:type="dxa"/>
          </w:tcPr>
          <w:p w14:paraId="7877741A"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ADHD</w:t>
            </w:r>
          </w:p>
        </w:tc>
        <w:tc>
          <w:tcPr>
            <w:tcW w:w="2817" w:type="dxa"/>
          </w:tcPr>
          <w:p w14:paraId="19AE08C0" w14:textId="77777777" w:rsidR="00AA166D" w:rsidRPr="00792B39" w:rsidRDefault="00AA166D" w:rsidP="00AA166D">
            <w:pPr>
              <w:pStyle w:val="NormalWeb"/>
              <w:rPr>
                <w:rFonts w:asciiTheme="majorBidi" w:hAnsiTheme="majorBidi" w:cstheme="majorBidi"/>
                <w:sz w:val="16"/>
                <w:szCs w:val="16"/>
              </w:rPr>
            </w:pPr>
            <w:r w:rsidRPr="00792B39">
              <w:rPr>
                <w:rFonts w:asciiTheme="majorBidi" w:hAnsiTheme="majorBidi" w:cstheme="majorBidi"/>
                <w:sz w:val="16"/>
                <w:szCs w:val="16"/>
              </w:rPr>
              <w:t xml:space="preserve">Demontis </w:t>
            </w:r>
            <w:r w:rsidRPr="00792B39">
              <w:rPr>
                <w:rFonts w:asciiTheme="majorBidi" w:hAnsiTheme="majorBidi" w:cstheme="majorBidi"/>
                <w:i/>
                <w:iCs/>
                <w:sz w:val="16"/>
                <w:szCs w:val="16"/>
              </w:rPr>
              <w:t xml:space="preserve">et al. </w:t>
            </w:r>
            <w:r w:rsidRPr="00792B39">
              <w:rPr>
                <w:rFonts w:asciiTheme="majorBidi" w:hAnsiTheme="majorBidi" w:cstheme="majorBidi"/>
                <w:sz w:val="16"/>
                <w:szCs w:val="16"/>
              </w:rPr>
              <w:t xml:space="preserve">(2023) </w:t>
            </w:r>
          </w:p>
          <w:p w14:paraId="4492789A" w14:textId="77777777" w:rsidR="00AA166D" w:rsidRPr="00792B39" w:rsidRDefault="00AA166D" w:rsidP="00AA166D">
            <w:pPr>
              <w:pStyle w:val="NormalWeb"/>
              <w:rPr>
                <w:rFonts w:asciiTheme="majorBidi" w:hAnsiTheme="majorBidi" w:cstheme="majorBidi"/>
                <w:sz w:val="16"/>
                <w:szCs w:val="16"/>
              </w:rPr>
            </w:pPr>
          </w:p>
        </w:tc>
        <w:tc>
          <w:tcPr>
            <w:tcW w:w="1010" w:type="dxa"/>
          </w:tcPr>
          <w:p w14:paraId="42299765"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225,534</w:t>
            </w:r>
          </w:p>
        </w:tc>
        <w:tc>
          <w:tcPr>
            <w:tcW w:w="902" w:type="dxa"/>
          </w:tcPr>
          <w:p w14:paraId="50A1C34D" w14:textId="7FFC9169"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27</w:t>
            </w:r>
          </w:p>
        </w:tc>
        <w:tc>
          <w:tcPr>
            <w:tcW w:w="1528" w:type="dxa"/>
          </w:tcPr>
          <w:p w14:paraId="68CE30FE" w14:textId="38CED0FC"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0.140</w:t>
            </w:r>
          </w:p>
        </w:tc>
        <w:tc>
          <w:tcPr>
            <w:tcW w:w="879" w:type="dxa"/>
          </w:tcPr>
          <w:p w14:paraId="493A802D" w14:textId="69AA9FB9"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0.010</w:t>
            </w:r>
          </w:p>
        </w:tc>
        <w:tc>
          <w:tcPr>
            <w:tcW w:w="1652" w:type="dxa"/>
          </w:tcPr>
          <w:p w14:paraId="64541A82" w14:textId="3862FBD1" w:rsidR="00AA166D" w:rsidRPr="00792B39" w:rsidRDefault="00E10787"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36702997</w:t>
            </w:r>
          </w:p>
        </w:tc>
      </w:tr>
      <w:tr w:rsidR="00A50986" w:rsidRPr="00792B39" w14:paraId="4F3866DA" w14:textId="77777777" w:rsidTr="00792B39">
        <w:trPr>
          <w:jc w:val="center"/>
        </w:trPr>
        <w:tc>
          <w:tcPr>
            <w:tcW w:w="2694" w:type="dxa"/>
          </w:tcPr>
          <w:p w14:paraId="080DCD2D"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Cross psychiatric disorders (CPD)</w:t>
            </w:r>
          </w:p>
        </w:tc>
        <w:tc>
          <w:tcPr>
            <w:tcW w:w="2817" w:type="dxa"/>
          </w:tcPr>
          <w:p w14:paraId="21AE8792" w14:textId="77777777" w:rsidR="00857385" w:rsidRPr="00792B39" w:rsidRDefault="00857385" w:rsidP="00857385">
            <w:pPr>
              <w:pStyle w:val="NormalWeb"/>
              <w:rPr>
                <w:rFonts w:asciiTheme="majorBidi" w:hAnsiTheme="majorBidi" w:cstheme="majorBidi"/>
                <w:sz w:val="16"/>
                <w:szCs w:val="16"/>
              </w:rPr>
            </w:pPr>
            <w:r w:rsidRPr="00792B39">
              <w:rPr>
                <w:rFonts w:asciiTheme="majorBidi" w:hAnsiTheme="majorBidi" w:cstheme="majorBidi"/>
                <w:sz w:val="16"/>
                <w:szCs w:val="16"/>
              </w:rPr>
              <w:t>Lee et al. (2019)</w:t>
            </w:r>
          </w:p>
          <w:p w14:paraId="1484EAD4" w14:textId="22228755" w:rsidR="00AA166D" w:rsidRPr="00792B39" w:rsidRDefault="00AA166D" w:rsidP="00AA166D">
            <w:pPr>
              <w:pStyle w:val="NormalWeb"/>
              <w:rPr>
                <w:rFonts w:asciiTheme="majorBidi" w:hAnsiTheme="majorBidi" w:cstheme="majorBidi"/>
                <w:sz w:val="16"/>
                <w:szCs w:val="16"/>
              </w:rPr>
            </w:pPr>
          </w:p>
        </w:tc>
        <w:tc>
          <w:tcPr>
            <w:tcW w:w="1010" w:type="dxa"/>
          </w:tcPr>
          <w:p w14:paraId="4A317253" w14:textId="58A3989A"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727,126</w:t>
            </w:r>
          </w:p>
        </w:tc>
        <w:tc>
          <w:tcPr>
            <w:tcW w:w="902" w:type="dxa"/>
          </w:tcPr>
          <w:p w14:paraId="65FBB38A" w14:textId="63C31C9B"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109</w:t>
            </w:r>
          </w:p>
        </w:tc>
        <w:tc>
          <w:tcPr>
            <w:tcW w:w="1528" w:type="dxa"/>
          </w:tcPr>
          <w:p w14:paraId="0423A9BA" w14:textId="1A2B091B" w:rsidR="00AA166D" w:rsidRPr="00792B39" w:rsidRDefault="007D25E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0.20-0.50</w:t>
            </w:r>
          </w:p>
        </w:tc>
        <w:tc>
          <w:tcPr>
            <w:tcW w:w="879" w:type="dxa"/>
          </w:tcPr>
          <w:p w14:paraId="6732E9F5" w14:textId="7AA74823" w:rsidR="00AA166D" w:rsidRPr="00792B39" w:rsidRDefault="007D25E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652" w:type="dxa"/>
          </w:tcPr>
          <w:p w14:paraId="27464E59" w14:textId="39FC5657"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31835028</w:t>
            </w:r>
          </w:p>
        </w:tc>
      </w:tr>
      <w:tr w:rsidR="00A50986" w:rsidRPr="00792B39" w14:paraId="10621971" w14:textId="77777777" w:rsidTr="00792B39">
        <w:trPr>
          <w:jc w:val="center"/>
        </w:trPr>
        <w:tc>
          <w:tcPr>
            <w:tcW w:w="2694" w:type="dxa"/>
          </w:tcPr>
          <w:p w14:paraId="41CE8DB7"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Neuroticism</w:t>
            </w:r>
          </w:p>
        </w:tc>
        <w:tc>
          <w:tcPr>
            <w:tcW w:w="2817" w:type="dxa"/>
          </w:tcPr>
          <w:p w14:paraId="4EC345B4" w14:textId="47F5A87C" w:rsidR="00AA166D" w:rsidRPr="00792B39" w:rsidRDefault="007D25E5" w:rsidP="00857385">
            <w:pPr>
              <w:pStyle w:val="NormalWeb"/>
              <w:rPr>
                <w:rFonts w:asciiTheme="majorBidi" w:hAnsiTheme="majorBidi" w:cstheme="majorBidi"/>
                <w:sz w:val="16"/>
                <w:szCs w:val="16"/>
              </w:rPr>
            </w:pPr>
            <w:r w:rsidRPr="00792B39">
              <w:rPr>
                <w:rFonts w:asciiTheme="majorBidi" w:hAnsiTheme="majorBidi" w:cstheme="majorBidi"/>
                <w:sz w:val="16"/>
                <w:szCs w:val="16"/>
              </w:rPr>
              <w:t>Turley et al.‚ 2019</w:t>
            </w:r>
          </w:p>
        </w:tc>
        <w:tc>
          <w:tcPr>
            <w:tcW w:w="1010" w:type="dxa"/>
          </w:tcPr>
          <w:p w14:paraId="3455E461" w14:textId="7E876052"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168</w:t>
            </w:r>
            <w:r w:rsidR="007D25E5" w:rsidRPr="00792B39">
              <w:rPr>
                <w:rFonts w:asciiTheme="majorBidi" w:hAnsiTheme="majorBidi" w:cstheme="majorBidi"/>
                <w:color w:val="000000"/>
                <w:sz w:val="16"/>
                <w:szCs w:val="16"/>
              </w:rPr>
              <w:t>,</w:t>
            </w:r>
            <w:r w:rsidRPr="00792B39">
              <w:rPr>
                <w:rFonts w:asciiTheme="majorBidi" w:hAnsiTheme="majorBidi" w:cstheme="majorBidi"/>
                <w:color w:val="000000"/>
                <w:sz w:val="16"/>
                <w:szCs w:val="16"/>
              </w:rPr>
              <w:t>105</w:t>
            </w:r>
          </w:p>
        </w:tc>
        <w:tc>
          <w:tcPr>
            <w:tcW w:w="902" w:type="dxa"/>
          </w:tcPr>
          <w:p w14:paraId="5E273CD8" w14:textId="4792FF8D" w:rsidR="00AA166D" w:rsidRPr="00792B39" w:rsidRDefault="007D25E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9</w:t>
            </w:r>
          </w:p>
        </w:tc>
        <w:tc>
          <w:tcPr>
            <w:tcW w:w="1528" w:type="dxa"/>
          </w:tcPr>
          <w:p w14:paraId="225621FB"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879" w:type="dxa"/>
          </w:tcPr>
          <w:p w14:paraId="5D626928" w14:textId="7D3C67A0" w:rsidR="00AA166D" w:rsidRPr="00792B39" w:rsidRDefault="007D25E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652" w:type="dxa"/>
          </w:tcPr>
          <w:p w14:paraId="23690E9B" w14:textId="1D74521E"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29292387</w:t>
            </w:r>
          </w:p>
        </w:tc>
      </w:tr>
      <w:tr w:rsidR="00A50986" w:rsidRPr="00792B39" w14:paraId="1CC13B16" w14:textId="77777777" w:rsidTr="00792B39">
        <w:trPr>
          <w:jc w:val="center"/>
        </w:trPr>
        <w:tc>
          <w:tcPr>
            <w:tcW w:w="2694" w:type="dxa"/>
          </w:tcPr>
          <w:p w14:paraId="1E76C252" w14:textId="720F3E56"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Number of cigarettes/</w:t>
            </w:r>
            <w:r w:rsidR="00857385" w:rsidRPr="00792B39">
              <w:rPr>
                <w:rFonts w:asciiTheme="majorBidi" w:hAnsiTheme="majorBidi" w:cstheme="majorBidi"/>
                <w:color w:val="000000"/>
                <w:sz w:val="16"/>
                <w:szCs w:val="16"/>
              </w:rPr>
              <w:t>day</w:t>
            </w:r>
          </w:p>
        </w:tc>
        <w:tc>
          <w:tcPr>
            <w:tcW w:w="2817" w:type="dxa"/>
          </w:tcPr>
          <w:p w14:paraId="4D097517" w14:textId="2ACC6362" w:rsidR="00AA166D" w:rsidRPr="00792B39" w:rsidRDefault="007D25E5" w:rsidP="00AA166D">
            <w:pPr>
              <w:pStyle w:val="NormalWeb"/>
              <w:rPr>
                <w:rFonts w:asciiTheme="majorBidi" w:hAnsiTheme="majorBidi" w:cstheme="majorBidi"/>
                <w:sz w:val="16"/>
                <w:szCs w:val="16"/>
              </w:rPr>
            </w:pPr>
            <w:r w:rsidRPr="00792B39">
              <w:rPr>
                <w:rFonts w:asciiTheme="majorBidi" w:hAnsiTheme="majorBidi" w:cstheme="majorBidi"/>
                <w:sz w:val="16"/>
                <w:szCs w:val="16"/>
              </w:rPr>
              <w:t>Liu</w:t>
            </w:r>
            <w:r w:rsidR="00AA166D" w:rsidRPr="00792B39">
              <w:rPr>
                <w:rFonts w:asciiTheme="majorBidi" w:hAnsiTheme="majorBidi" w:cstheme="majorBidi"/>
                <w:sz w:val="16"/>
                <w:szCs w:val="16"/>
              </w:rPr>
              <w:t xml:space="preserve"> et al. (2019) </w:t>
            </w:r>
          </w:p>
          <w:p w14:paraId="7EDDE11F"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p>
        </w:tc>
        <w:tc>
          <w:tcPr>
            <w:tcW w:w="1010" w:type="dxa"/>
          </w:tcPr>
          <w:p w14:paraId="21126670" w14:textId="7DD24D8B"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sz w:val="16"/>
                <w:szCs w:val="16"/>
              </w:rPr>
              <w:t>245</w:t>
            </w:r>
            <w:r w:rsidR="009F36CC" w:rsidRPr="00792B39">
              <w:rPr>
                <w:rFonts w:asciiTheme="majorBidi" w:hAnsiTheme="majorBidi" w:cstheme="majorBidi"/>
                <w:sz w:val="16"/>
                <w:szCs w:val="16"/>
              </w:rPr>
              <w:t>,</w:t>
            </w:r>
            <w:r w:rsidRPr="00792B39">
              <w:rPr>
                <w:rFonts w:asciiTheme="majorBidi" w:hAnsiTheme="majorBidi" w:cstheme="majorBidi"/>
                <w:sz w:val="16"/>
                <w:szCs w:val="16"/>
              </w:rPr>
              <w:t>876</w:t>
            </w:r>
          </w:p>
        </w:tc>
        <w:tc>
          <w:tcPr>
            <w:tcW w:w="902" w:type="dxa"/>
          </w:tcPr>
          <w:p w14:paraId="073BBF2E" w14:textId="15AAF0B3" w:rsidR="009F36CC" w:rsidRPr="00792B39" w:rsidRDefault="009F36CC" w:rsidP="009F36CC">
            <w:pPr>
              <w:jc w:val="center"/>
              <w:rPr>
                <w:rFonts w:asciiTheme="majorBidi" w:hAnsiTheme="majorBidi" w:cstheme="majorBidi"/>
                <w:color w:val="000000"/>
                <w:sz w:val="16"/>
                <w:szCs w:val="16"/>
              </w:rPr>
            </w:pPr>
            <w:r w:rsidRPr="00792B39">
              <w:rPr>
                <w:rFonts w:asciiTheme="majorBidi" w:hAnsiTheme="majorBidi" w:cstheme="majorBidi"/>
                <w:color w:val="000000"/>
                <w:sz w:val="16"/>
                <w:szCs w:val="16"/>
              </w:rPr>
              <w:t>406</w:t>
            </w:r>
          </w:p>
          <w:p w14:paraId="59F09A0C" w14:textId="7FE6C616"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p>
        </w:tc>
        <w:tc>
          <w:tcPr>
            <w:tcW w:w="1528" w:type="dxa"/>
          </w:tcPr>
          <w:p w14:paraId="7E52A382" w14:textId="77777777"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879" w:type="dxa"/>
          </w:tcPr>
          <w:p w14:paraId="4357BAAC" w14:textId="32D2063D" w:rsidR="00AA166D" w:rsidRPr="00792B39" w:rsidRDefault="009F36CC"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t>
            </w:r>
          </w:p>
        </w:tc>
        <w:tc>
          <w:tcPr>
            <w:tcW w:w="1652" w:type="dxa"/>
          </w:tcPr>
          <w:p w14:paraId="17A1297C" w14:textId="08C24353" w:rsidR="00AA166D" w:rsidRPr="00792B39" w:rsidRDefault="00857385"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30643251</w:t>
            </w:r>
          </w:p>
        </w:tc>
      </w:tr>
      <w:tr w:rsidR="00A50986" w:rsidRPr="00792B39" w14:paraId="4935FA92" w14:textId="77777777" w:rsidTr="00792B39">
        <w:trPr>
          <w:jc w:val="center"/>
        </w:trPr>
        <w:tc>
          <w:tcPr>
            <w:tcW w:w="2694" w:type="dxa"/>
          </w:tcPr>
          <w:p w14:paraId="3C0487F2"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lastRenderedPageBreak/>
              <w:t>Loneliness</w:t>
            </w:r>
          </w:p>
        </w:tc>
        <w:tc>
          <w:tcPr>
            <w:tcW w:w="2817" w:type="dxa"/>
          </w:tcPr>
          <w:p w14:paraId="14E0174C" w14:textId="04F62075" w:rsidR="00AA166D" w:rsidRPr="00792B39" w:rsidRDefault="009F36CC" w:rsidP="00AA166D">
            <w:pPr>
              <w:pStyle w:val="NormalWeb"/>
              <w:rPr>
                <w:rFonts w:asciiTheme="majorBidi" w:hAnsiTheme="majorBidi" w:cstheme="majorBidi"/>
                <w:sz w:val="16"/>
                <w:szCs w:val="16"/>
              </w:rPr>
            </w:pPr>
            <w:r w:rsidRPr="00792B39">
              <w:rPr>
                <w:rFonts w:asciiTheme="majorBidi" w:hAnsiTheme="majorBidi" w:cstheme="majorBidi"/>
                <w:sz w:val="16"/>
                <w:szCs w:val="16"/>
              </w:rPr>
              <w:t>Day et al. (2018)</w:t>
            </w:r>
          </w:p>
        </w:tc>
        <w:tc>
          <w:tcPr>
            <w:tcW w:w="1010" w:type="dxa"/>
          </w:tcPr>
          <w:p w14:paraId="73EA83EA" w14:textId="4ED5DED4" w:rsidR="00AA166D" w:rsidRPr="00792B39" w:rsidRDefault="00AA166D"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452</w:t>
            </w:r>
            <w:r w:rsidR="009F36CC" w:rsidRPr="00792B39">
              <w:rPr>
                <w:rFonts w:asciiTheme="majorBidi" w:hAnsiTheme="majorBidi" w:cstheme="majorBidi"/>
                <w:color w:val="000000"/>
                <w:sz w:val="16"/>
                <w:szCs w:val="16"/>
              </w:rPr>
              <w:t>,</w:t>
            </w:r>
            <w:r w:rsidRPr="00792B39">
              <w:rPr>
                <w:rFonts w:asciiTheme="majorBidi" w:hAnsiTheme="majorBidi" w:cstheme="majorBidi"/>
                <w:color w:val="000000"/>
                <w:sz w:val="16"/>
                <w:szCs w:val="16"/>
              </w:rPr>
              <w:t>302</w:t>
            </w:r>
          </w:p>
        </w:tc>
        <w:tc>
          <w:tcPr>
            <w:tcW w:w="902" w:type="dxa"/>
          </w:tcPr>
          <w:p w14:paraId="06D3A8E3" w14:textId="38D5B241"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15</w:t>
            </w:r>
          </w:p>
        </w:tc>
        <w:tc>
          <w:tcPr>
            <w:tcW w:w="1528" w:type="dxa"/>
          </w:tcPr>
          <w:p w14:paraId="0102D021" w14:textId="24099DD5"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0.42</w:t>
            </w:r>
          </w:p>
        </w:tc>
        <w:tc>
          <w:tcPr>
            <w:tcW w:w="879" w:type="dxa"/>
          </w:tcPr>
          <w:p w14:paraId="63F73649" w14:textId="181B100A"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0.020</w:t>
            </w:r>
          </w:p>
        </w:tc>
        <w:tc>
          <w:tcPr>
            <w:tcW w:w="1652" w:type="dxa"/>
          </w:tcPr>
          <w:p w14:paraId="1DEA867C" w14:textId="18C94358"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29970889</w:t>
            </w:r>
          </w:p>
        </w:tc>
      </w:tr>
      <w:tr w:rsidR="00A50986" w:rsidRPr="00792B39" w14:paraId="132A57C9" w14:textId="77777777" w:rsidTr="00792B39">
        <w:trPr>
          <w:jc w:val="center"/>
        </w:trPr>
        <w:tc>
          <w:tcPr>
            <w:tcW w:w="2694" w:type="dxa"/>
            <w:tcBorders>
              <w:bottom w:val="single" w:sz="4" w:space="0" w:color="auto"/>
            </w:tcBorders>
          </w:tcPr>
          <w:p w14:paraId="36DA7D5E" w14:textId="77777777" w:rsidR="00AA166D" w:rsidRPr="00792B39" w:rsidRDefault="00AA166D" w:rsidP="00AA166D">
            <w:pPr>
              <w:spacing w:line="480" w:lineRule="auto"/>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Well-being spectrum</w:t>
            </w:r>
          </w:p>
        </w:tc>
        <w:tc>
          <w:tcPr>
            <w:tcW w:w="2817" w:type="dxa"/>
            <w:tcBorders>
              <w:bottom w:val="single" w:sz="4" w:space="0" w:color="auto"/>
            </w:tcBorders>
          </w:tcPr>
          <w:p w14:paraId="7708602D" w14:textId="77777777" w:rsidR="00AA166D" w:rsidRPr="00792B39" w:rsidRDefault="00AA166D" w:rsidP="00AA166D">
            <w:pPr>
              <w:pStyle w:val="NormalWeb"/>
              <w:rPr>
                <w:rFonts w:asciiTheme="majorBidi" w:hAnsiTheme="majorBidi" w:cstheme="majorBidi"/>
                <w:sz w:val="16"/>
                <w:szCs w:val="16"/>
              </w:rPr>
            </w:pPr>
            <w:r w:rsidRPr="00792B39">
              <w:rPr>
                <w:rFonts w:asciiTheme="majorBidi" w:hAnsiTheme="majorBidi" w:cstheme="majorBidi"/>
                <w:color w:val="000000"/>
                <w:sz w:val="16"/>
                <w:szCs w:val="16"/>
              </w:rPr>
              <w:t>Baselmans et al. (2019)</w:t>
            </w:r>
          </w:p>
        </w:tc>
        <w:tc>
          <w:tcPr>
            <w:tcW w:w="1010" w:type="dxa"/>
            <w:tcBorders>
              <w:bottom w:val="single" w:sz="4" w:space="0" w:color="auto"/>
            </w:tcBorders>
          </w:tcPr>
          <w:p w14:paraId="175EA72B" w14:textId="2AFE7DEC"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2,311,180</w:t>
            </w:r>
          </w:p>
        </w:tc>
        <w:tc>
          <w:tcPr>
            <w:tcW w:w="902" w:type="dxa"/>
            <w:tcBorders>
              <w:bottom w:val="single" w:sz="4" w:space="0" w:color="auto"/>
            </w:tcBorders>
          </w:tcPr>
          <w:p w14:paraId="253FEA06" w14:textId="523EA5F3"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304</w:t>
            </w:r>
          </w:p>
        </w:tc>
        <w:tc>
          <w:tcPr>
            <w:tcW w:w="1528" w:type="dxa"/>
            <w:tcBorders>
              <w:bottom w:val="single" w:sz="4" w:space="0" w:color="auto"/>
            </w:tcBorders>
          </w:tcPr>
          <w:p w14:paraId="2001B402" w14:textId="29C6A51C"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0.04-0.10</w:t>
            </w:r>
          </w:p>
        </w:tc>
        <w:tc>
          <w:tcPr>
            <w:tcW w:w="879" w:type="dxa"/>
            <w:tcBorders>
              <w:bottom w:val="single" w:sz="4" w:space="0" w:color="auto"/>
            </w:tcBorders>
          </w:tcPr>
          <w:p w14:paraId="7C6383AB" w14:textId="13F9FA77"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eastAsia="Times New Roman" w:hAnsiTheme="majorBidi" w:cstheme="majorBidi"/>
                <w:color w:val="000000"/>
                <w:kern w:val="0"/>
                <w:sz w:val="16"/>
                <w:szCs w:val="16"/>
                <w:lang w:eastAsia="en-GB"/>
                <w14:ligatures w14:val="none"/>
              </w:rPr>
              <w:t>0.004-0.01</w:t>
            </w:r>
          </w:p>
        </w:tc>
        <w:tc>
          <w:tcPr>
            <w:tcW w:w="1652" w:type="dxa"/>
            <w:tcBorders>
              <w:bottom w:val="single" w:sz="4" w:space="0" w:color="auto"/>
            </w:tcBorders>
          </w:tcPr>
          <w:p w14:paraId="10BF3A40" w14:textId="233670DD" w:rsidR="00AA166D" w:rsidRPr="00792B39" w:rsidRDefault="00A50986" w:rsidP="00AA166D">
            <w:pPr>
              <w:spacing w:line="480" w:lineRule="auto"/>
              <w:jc w:val="center"/>
              <w:rPr>
                <w:rFonts w:asciiTheme="majorBidi" w:eastAsia="Times New Roman" w:hAnsiTheme="majorBidi" w:cstheme="majorBidi"/>
                <w:color w:val="000000"/>
                <w:kern w:val="0"/>
                <w:sz w:val="16"/>
                <w:szCs w:val="16"/>
                <w:lang w:eastAsia="en-GB"/>
                <w14:ligatures w14:val="none"/>
              </w:rPr>
            </w:pPr>
            <w:r w:rsidRPr="00792B39">
              <w:rPr>
                <w:rFonts w:asciiTheme="majorBidi" w:hAnsiTheme="majorBidi" w:cstheme="majorBidi"/>
                <w:color w:val="000000"/>
                <w:sz w:val="16"/>
                <w:szCs w:val="16"/>
              </w:rPr>
              <w:t>30643256</w:t>
            </w:r>
          </w:p>
        </w:tc>
      </w:tr>
      <w:tr w:rsidR="00AA166D" w:rsidRPr="00792B39" w14:paraId="0B2B6022" w14:textId="77777777" w:rsidTr="00792B39">
        <w:trPr>
          <w:trHeight w:val="770"/>
          <w:jc w:val="center"/>
        </w:trPr>
        <w:tc>
          <w:tcPr>
            <w:tcW w:w="11482" w:type="dxa"/>
            <w:gridSpan w:val="7"/>
            <w:tcBorders>
              <w:top w:val="single" w:sz="4" w:space="0" w:color="auto"/>
            </w:tcBorders>
          </w:tcPr>
          <w:p w14:paraId="5A7665C7" w14:textId="14A7A55E" w:rsidR="00AA166D" w:rsidRPr="00792B39" w:rsidRDefault="00AC65F3" w:rsidP="00AA166D">
            <w:pPr>
              <w:pStyle w:val="NormalWeb"/>
              <w:rPr>
                <w:rFonts w:asciiTheme="majorBidi" w:hAnsiTheme="majorBidi" w:cstheme="majorBidi"/>
                <w:sz w:val="16"/>
                <w:szCs w:val="16"/>
              </w:rPr>
            </w:pPr>
            <w:r w:rsidRPr="00792B39">
              <w:rPr>
                <w:rFonts w:asciiTheme="majorBidi" w:hAnsiTheme="majorBidi" w:cstheme="majorBidi"/>
                <w:color w:val="000000"/>
                <w:sz w:val="16"/>
                <w:szCs w:val="16"/>
                <w:vertAlign w:val="superscript"/>
              </w:rPr>
              <w:t>a</w:t>
            </w:r>
            <w:r w:rsidRPr="00792B39">
              <w:rPr>
                <w:rFonts w:asciiTheme="majorBidi" w:hAnsiTheme="majorBidi" w:cstheme="majorBidi"/>
                <w:i/>
                <w:iCs/>
                <w:sz w:val="16"/>
                <w:szCs w:val="16"/>
              </w:rPr>
              <w:t xml:space="preserve"> GWAS-by-subtraction; </w:t>
            </w:r>
            <w:r w:rsidR="00AA166D" w:rsidRPr="00792B39">
              <w:rPr>
                <w:rFonts w:asciiTheme="majorBidi" w:hAnsiTheme="majorBidi" w:cstheme="majorBidi"/>
                <w:i/>
                <w:iCs/>
                <w:sz w:val="16"/>
                <w:szCs w:val="16"/>
              </w:rPr>
              <w:t>Note: SNP-h</w:t>
            </w:r>
            <w:r w:rsidR="00AA166D" w:rsidRPr="00792B39">
              <w:rPr>
                <w:rFonts w:asciiTheme="majorBidi" w:hAnsiTheme="majorBidi" w:cstheme="majorBidi"/>
                <w:i/>
                <w:iCs/>
                <w:position w:val="8"/>
                <w:sz w:val="16"/>
                <w:szCs w:val="16"/>
              </w:rPr>
              <w:t xml:space="preserve">2 </w:t>
            </w:r>
            <w:r w:rsidR="00AA166D" w:rsidRPr="00792B39">
              <w:rPr>
                <w:rFonts w:asciiTheme="majorBidi" w:hAnsiTheme="majorBidi" w:cstheme="majorBidi"/>
                <w:i/>
                <w:iCs/>
                <w:sz w:val="16"/>
                <w:szCs w:val="16"/>
              </w:rPr>
              <w:t>= Single nucleotide polymorphism (SNP) heritability; SE = Standard Error; BMI = Body mass index; ADHD = Attention-deficit/hyperactivity disorder</w:t>
            </w:r>
          </w:p>
        </w:tc>
      </w:tr>
    </w:tbl>
    <w:p w14:paraId="1495869C" w14:textId="77777777" w:rsidR="00BB7C15" w:rsidRDefault="00BB7C15" w:rsidP="00BB7C15">
      <w:pPr>
        <w:rPr>
          <w:rFonts w:ascii="Times New Roman" w:hAnsi="Times New Roman" w:cs="Times New Roman"/>
          <w:color w:val="000000" w:themeColor="text1"/>
        </w:rPr>
      </w:pPr>
    </w:p>
    <w:p w14:paraId="58D344FA" w14:textId="77777777" w:rsidR="00BB7C15" w:rsidRDefault="00BB7C15" w:rsidP="00BB7C15">
      <w:pPr>
        <w:rPr>
          <w:rFonts w:ascii="Times New Roman" w:hAnsi="Times New Roman" w:cs="Times New Roman"/>
          <w:color w:val="000000" w:themeColor="text1"/>
        </w:rPr>
      </w:pPr>
    </w:p>
    <w:p w14:paraId="68A38A94" w14:textId="77777777" w:rsidR="00BB7C15" w:rsidRDefault="00BB7C15" w:rsidP="00BB7C15">
      <w:pPr>
        <w:rPr>
          <w:rFonts w:ascii="Times New Roman" w:hAnsi="Times New Roman" w:cs="Times New Roman"/>
          <w:color w:val="000000" w:themeColor="text1"/>
        </w:rPr>
      </w:pPr>
    </w:p>
    <w:p w14:paraId="0AB1719D" w14:textId="77777777" w:rsidR="00BB7C15" w:rsidRDefault="00BB7C15" w:rsidP="00BB7C15">
      <w:pPr>
        <w:rPr>
          <w:rFonts w:ascii="Times New Roman" w:hAnsi="Times New Roman" w:cs="Times New Roman"/>
          <w:color w:val="000000" w:themeColor="text1"/>
        </w:rPr>
      </w:pPr>
    </w:p>
    <w:p w14:paraId="219B1469" w14:textId="77777777" w:rsidR="006A57BE" w:rsidRDefault="006A57BE" w:rsidP="00BB7C15">
      <w:pPr>
        <w:spacing w:line="480" w:lineRule="auto"/>
        <w:rPr>
          <w:rFonts w:ascii="Times New Roman" w:eastAsia="Times New Roman" w:hAnsi="Times New Roman" w:cs="Times New Roman"/>
          <w:b/>
          <w:bCs/>
          <w:color w:val="000000"/>
          <w:kern w:val="0"/>
          <w:lang w:eastAsia="en-GB"/>
          <w14:ligatures w14:val="none"/>
        </w:rPr>
        <w:sectPr w:rsidR="006A57BE" w:rsidSect="00792B39">
          <w:pgSz w:w="16838" w:h="11906" w:orient="landscape"/>
          <w:pgMar w:top="1440" w:right="1440" w:bottom="1440" w:left="1440" w:header="708" w:footer="708" w:gutter="0"/>
          <w:cols w:space="708"/>
          <w:docGrid w:linePitch="360"/>
        </w:sectPr>
      </w:pPr>
    </w:p>
    <w:tbl>
      <w:tblPr>
        <w:tblStyle w:val="TableGrid"/>
        <w:tblW w:w="11340" w:type="dxa"/>
        <w:tblInd w:w="-1134" w:type="dxa"/>
        <w:tblLayout w:type="fixed"/>
        <w:tblLook w:val="04A0" w:firstRow="1" w:lastRow="0" w:firstColumn="1" w:lastColumn="0" w:noHBand="0" w:noVBand="1"/>
      </w:tblPr>
      <w:tblGrid>
        <w:gridCol w:w="4536"/>
        <w:gridCol w:w="1701"/>
        <w:gridCol w:w="1418"/>
        <w:gridCol w:w="1134"/>
        <w:gridCol w:w="2551"/>
      </w:tblGrid>
      <w:tr w:rsidR="00BB7C15" w:rsidRPr="00F92110" w14:paraId="1A99EA3D" w14:textId="77777777" w:rsidTr="00D0734C">
        <w:tc>
          <w:tcPr>
            <w:tcW w:w="11340" w:type="dxa"/>
            <w:gridSpan w:val="5"/>
            <w:tcBorders>
              <w:top w:val="nil"/>
              <w:left w:val="nil"/>
              <w:bottom w:val="single" w:sz="4" w:space="0" w:color="auto"/>
              <w:right w:val="nil"/>
            </w:tcBorders>
          </w:tcPr>
          <w:p w14:paraId="2ADDD0A4" w14:textId="50DBF860" w:rsidR="00BB7C15" w:rsidRPr="00F92110" w:rsidRDefault="00BB7C15" w:rsidP="00D0734C">
            <w:pPr>
              <w:pStyle w:val="NormalWeb"/>
              <w:rPr>
                <w:b/>
                <w:bCs/>
                <w:shd w:val="clear" w:color="auto" w:fill="FFFFFF"/>
              </w:rPr>
            </w:pPr>
            <w:r w:rsidRPr="00F92110">
              <w:rPr>
                <w:b/>
                <w:bCs/>
                <w:shd w:val="clear" w:color="auto" w:fill="FFFFFF"/>
              </w:rPr>
              <w:lastRenderedPageBreak/>
              <w:t xml:space="preserve">Supplementary Table </w:t>
            </w:r>
            <w:r>
              <w:rPr>
                <w:b/>
                <w:bCs/>
                <w:shd w:val="clear" w:color="auto" w:fill="FFFFFF"/>
              </w:rPr>
              <w:t>S2</w:t>
            </w:r>
            <w:r w:rsidRPr="00F92110">
              <w:rPr>
                <w:b/>
                <w:bCs/>
                <w:shd w:val="clear" w:color="auto" w:fill="FFFFFF"/>
              </w:rPr>
              <w:t>.</w:t>
            </w:r>
            <w:r w:rsidRPr="00F92110">
              <w:rPr>
                <w:shd w:val="clear" w:color="auto" w:fill="FFFFFF"/>
              </w:rPr>
              <w:t xml:space="preserve"> </w:t>
            </w:r>
            <w:r w:rsidRPr="00700674">
              <w:rPr>
                <w:b/>
                <w:bCs/>
                <w:shd w:val="clear" w:color="auto" w:fill="FFFFFF"/>
              </w:rPr>
              <w:t>Auxiliary variables included in the multiple imputation model.</w:t>
            </w:r>
            <w:r w:rsidRPr="00F92110">
              <w:rPr>
                <w:shd w:val="clear" w:color="auto" w:fill="FFFFFF"/>
              </w:rPr>
              <w:t xml:space="preserve"> </w:t>
            </w:r>
          </w:p>
        </w:tc>
      </w:tr>
      <w:tr w:rsidR="00BB7C15" w:rsidRPr="00F92110" w14:paraId="3A9A9028" w14:textId="77777777" w:rsidTr="00D0734C">
        <w:tc>
          <w:tcPr>
            <w:tcW w:w="4536" w:type="dxa"/>
            <w:tcBorders>
              <w:top w:val="single" w:sz="4" w:space="0" w:color="auto"/>
              <w:left w:val="nil"/>
              <w:bottom w:val="single" w:sz="4" w:space="0" w:color="auto"/>
              <w:right w:val="nil"/>
            </w:tcBorders>
          </w:tcPr>
          <w:p w14:paraId="1DBBE4A7" w14:textId="77777777" w:rsidR="00BB7C15" w:rsidRPr="00F92110" w:rsidRDefault="00BB7C15" w:rsidP="00D0734C">
            <w:pPr>
              <w:pStyle w:val="NormalWeb"/>
              <w:rPr>
                <w:b/>
                <w:bCs/>
              </w:rPr>
            </w:pPr>
            <w:r w:rsidRPr="00F92110">
              <w:rPr>
                <w:b/>
                <w:bCs/>
              </w:rPr>
              <w:t xml:space="preserve">Auxiliary variable </w:t>
            </w:r>
          </w:p>
        </w:tc>
        <w:tc>
          <w:tcPr>
            <w:tcW w:w="1701" w:type="dxa"/>
            <w:tcBorders>
              <w:top w:val="single" w:sz="4" w:space="0" w:color="auto"/>
              <w:left w:val="nil"/>
              <w:bottom w:val="single" w:sz="4" w:space="0" w:color="auto"/>
              <w:right w:val="nil"/>
            </w:tcBorders>
          </w:tcPr>
          <w:p w14:paraId="4C3FA0E0" w14:textId="77777777" w:rsidR="00BB7C15" w:rsidRPr="00F92110" w:rsidRDefault="00BB7C15" w:rsidP="00D0734C">
            <w:pPr>
              <w:pStyle w:val="NormalWeb"/>
              <w:jc w:val="center"/>
              <w:rPr>
                <w:b/>
                <w:bCs/>
              </w:rPr>
            </w:pPr>
            <w:r w:rsidRPr="00F92110">
              <w:rPr>
                <w:b/>
                <w:bCs/>
              </w:rPr>
              <w:t>Age assessed</w:t>
            </w:r>
            <w:r>
              <w:rPr>
                <w:b/>
                <w:bCs/>
              </w:rPr>
              <w:t xml:space="preserve"> (years)</w:t>
            </w:r>
          </w:p>
        </w:tc>
        <w:tc>
          <w:tcPr>
            <w:tcW w:w="1418" w:type="dxa"/>
            <w:tcBorders>
              <w:top w:val="single" w:sz="4" w:space="0" w:color="auto"/>
              <w:left w:val="nil"/>
              <w:bottom w:val="single" w:sz="4" w:space="0" w:color="auto"/>
              <w:right w:val="nil"/>
            </w:tcBorders>
          </w:tcPr>
          <w:p w14:paraId="400B92C8" w14:textId="77777777" w:rsidR="00BB7C15" w:rsidRPr="00F92110" w:rsidRDefault="00BB7C15" w:rsidP="00D0734C">
            <w:pPr>
              <w:pStyle w:val="NormalWeb"/>
              <w:jc w:val="center"/>
              <w:rPr>
                <w:b/>
                <w:bCs/>
              </w:rPr>
            </w:pPr>
            <w:r w:rsidRPr="00F92110">
              <w:rPr>
                <w:b/>
                <w:bCs/>
              </w:rPr>
              <w:t>Informant</w:t>
            </w:r>
          </w:p>
        </w:tc>
        <w:tc>
          <w:tcPr>
            <w:tcW w:w="1134" w:type="dxa"/>
            <w:tcBorders>
              <w:top w:val="single" w:sz="4" w:space="0" w:color="auto"/>
              <w:left w:val="nil"/>
              <w:bottom w:val="single" w:sz="4" w:space="0" w:color="auto"/>
              <w:right w:val="nil"/>
            </w:tcBorders>
          </w:tcPr>
          <w:p w14:paraId="170AE198" w14:textId="77777777" w:rsidR="00BB7C15" w:rsidRPr="00F92110" w:rsidRDefault="00BB7C15" w:rsidP="00D0734C">
            <w:pPr>
              <w:pStyle w:val="NormalWeb"/>
              <w:jc w:val="center"/>
              <w:rPr>
                <w:b/>
                <w:bCs/>
              </w:rPr>
            </w:pPr>
            <w:r>
              <w:rPr>
                <w:b/>
                <w:bCs/>
              </w:rPr>
              <w:t>Variable type</w:t>
            </w:r>
          </w:p>
        </w:tc>
        <w:tc>
          <w:tcPr>
            <w:tcW w:w="2551" w:type="dxa"/>
            <w:tcBorders>
              <w:top w:val="single" w:sz="4" w:space="0" w:color="auto"/>
              <w:left w:val="nil"/>
              <w:bottom w:val="single" w:sz="4" w:space="0" w:color="auto"/>
              <w:right w:val="nil"/>
            </w:tcBorders>
          </w:tcPr>
          <w:p w14:paraId="177D3D04" w14:textId="77777777" w:rsidR="00BB7C15" w:rsidRPr="00F92110" w:rsidRDefault="00BB7C15" w:rsidP="00D0734C">
            <w:pPr>
              <w:pStyle w:val="NormalWeb"/>
              <w:jc w:val="center"/>
              <w:rPr>
                <w:b/>
                <w:bCs/>
              </w:rPr>
            </w:pPr>
            <w:r>
              <w:rPr>
                <w:b/>
                <w:bCs/>
              </w:rPr>
              <w:t>How variable is transformed in the imputation model</w:t>
            </w:r>
          </w:p>
        </w:tc>
      </w:tr>
      <w:tr w:rsidR="00BB7C15" w:rsidRPr="00F92110" w14:paraId="17BEA28D" w14:textId="77777777" w:rsidTr="00D0734C">
        <w:tc>
          <w:tcPr>
            <w:tcW w:w="4536" w:type="dxa"/>
            <w:tcBorders>
              <w:top w:val="single" w:sz="4" w:space="0" w:color="auto"/>
              <w:left w:val="nil"/>
              <w:bottom w:val="nil"/>
              <w:right w:val="nil"/>
            </w:tcBorders>
          </w:tcPr>
          <w:p w14:paraId="56990FDE" w14:textId="77777777" w:rsidR="00BB7C15" w:rsidRPr="00F92110" w:rsidRDefault="00BB7C15" w:rsidP="00D0734C">
            <w:pPr>
              <w:pStyle w:val="html-xx"/>
              <w:spacing w:before="0" w:beforeAutospacing="0" w:after="0" w:afterAutospacing="0"/>
              <w:jc w:val="both"/>
              <w:rPr>
                <w:color w:val="222222"/>
              </w:rPr>
            </w:pPr>
            <w:r>
              <w:rPr>
                <w:color w:val="222222"/>
              </w:rPr>
              <w:t>Child’s emotional reactivity (CBCL)</w:t>
            </w:r>
          </w:p>
        </w:tc>
        <w:tc>
          <w:tcPr>
            <w:tcW w:w="1701" w:type="dxa"/>
            <w:tcBorders>
              <w:top w:val="single" w:sz="4" w:space="0" w:color="auto"/>
              <w:left w:val="nil"/>
              <w:bottom w:val="nil"/>
              <w:right w:val="nil"/>
            </w:tcBorders>
          </w:tcPr>
          <w:p w14:paraId="4902A079" w14:textId="77777777" w:rsidR="00BB7C15" w:rsidRPr="00F92110" w:rsidRDefault="00BB7C15" w:rsidP="00D0734C">
            <w:pPr>
              <w:pStyle w:val="html-xx"/>
              <w:spacing w:before="0" w:beforeAutospacing="0" w:after="0" w:afterAutospacing="0"/>
              <w:jc w:val="center"/>
              <w:rPr>
                <w:color w:val="222222"/>
              </w:rPr>
            </w:pPr>
            <w:r>
              <w:rPr>
                <w:color w:val="222222"/>
              </w:rPr>
              <w:t>1.5, 3, 5</w:t>
            </w:r>
          </w:p>
        </w:tc>
        <w:tc>
          <w:tcPr>
            <w:tcW w:w="1418" w:type="dxa"/>
            <w:tcBorders>
              <w:top w:val="single" w:sz="4" w:space="0" w:color="auto"/>
              <w:left w:val="nil"/>
              <w:bottom w:val="nil"/>
              <w:right w:val="nil"/>
            </w:tcBorders>
          </w:tcPr>
          <w:p w14:paraId="04D32039" w14:textId="77777777" w:rsidR="00BB7C15" w:rsidRPr="00F92110" w:rsidRDefault="00BB7C15" w:rsidP="00D0734C">
            <w:pPr>
              <w:pStyle w:val="html-xx"/>
              <w:spacing w:before="0" w:beforeAutospacing="0" w:after="0" w:afterAutospacing="0"/>
              <w:jc w:val="center"/>
              <w:rPr>
                <w:color w:val="222222"/>
              </w:rPr>
            </w:pPr>
            <w:r>
              <w:rPr>
                <w:color w:val="222222"/>
              </w:rPr>
              <w:t>Mother</w:t>
            </w:r>
          </w:p>
        </w:tc>
        <w:tc>
          <w:tcPr>
            <w:tcW w:w="1134" w:type="dxa"/>
            <w:tcBorders>
              <w:top w:val="single" w:sz="4" w:space="0" w:color="auto"/>
              <w:left w:val="nil"/>
              <w:bottom w:val="nil"/>
              <w:right w:val="nil"/>
            </w:tcBorders>
          </w:tcPr>
          <w:p w14:paraId="3287CB27" w14:textId="77777777" w:rsidR="00BB7C15" w:rsidRPr="00F92110" w:rsidRDefault="00BB7C15" w:rsidP="00D0734C">
            <w:pPr>
              <w:pStyle w:val="html-xx"/>
              <w:spacing w:before="0" w:beforeAutospacing="0" w:after="0" w:afterAutospacing="0"/>
              <w:jc w:val="center"/>
              <w:rPr>
                <w:color w:val="222222"/>
              </w:rPr>
            </w:pPr>
            <w:r>
              <w:rPr>
                <w:color w:val="222222"/>
              </w:rPr>
              <w:t>Numeric</w:t>
            </w:r>
          </w:p>
        </w:tc>
        <w:tc>
          <w:tcPr>
            <w:tcW w:w="2551" w:type="dxa"/>
            <w:tcBorders>
              <w:top w:val="single" w:sz="4" w:space="0" w:color="auto"/>
              <w:left w:val="nil"/>
              <w:bottom w:val="nil"/>
              <w:right w:val="nil"/>
            </w:tcBorders>
          </w:tcPr>
          <w:p w14:paraId="1E896399" w14:textId="77777777" w:rsidR="00BB7C15" w:rsidRPr="00F92110" w:rsidRDefault="00BB7C15" w:rsidP="00D0734C">
            <w:pPr>
              <w:pStyle w:val="html-xx"/>
              <w:spacing w:before="0" w:beforeAutospacing="0" w:after="0" w:afterAutospacing="0"/>
              <w:jc w:val="center"/>
              <w:rPr>
                <w:color w:val="222222"/>
              </w:rPr>
            </w:pPr>
            <w:r>
              <w:rPr>
                <w:color w:val="222222"/>
              </w:rPr>
              <w:t>Continous</w:t>
            </w:r>
          </w:p>
        </w:tc>
      </w:tr>
      <w:tr w:rsidR="00BB7C15" w:rsidRPr="00F92110" w14:paraId="1C202756" w14:textId="77777777" w:rsidTr="00D0734C">
        <w:tc>
          <w:tcPr>
            <w:tcW w:w="4536" w:type="dxa"/>
            <w:tcBorders>
              <w:top w:val="nil"/>
              <w:left w:val="nil"/>
              <w:bottom w:val="nil"/>
              <w:right w:val="nil"/>
            </w:tcBorders>
          </w:tcPr>
          <w:p w14:paraId="076EB705" w14:textId="77777777" w:rsidR="00BB7C15" w:rsidRPr="00F92110" w:rsidRDefault="00BB7C15" w:rsidP="00D0734C">
            <w:pPr>
              <w:pStyle w:val="html-xx"/>
              <w:spacing w:before="0" w:beforeAutospacing="0" w:after="0" w:afterAutospacing="0"/>
              <w:jc w:val="both"/>
              <w:rPr>
                <w:color w:val="222222"/>
              </w:rPr>
            </w:pPr>
            <w:r>
              <w:rPr>
                <w:color w:val="222222"/>
              </w:rPr>
              <w:t>Child’s Emotionality (EAS)</w:t>
            </w:r>
          </w:p>
        </w:tc>
        <w:tc>
          <w:tcPr>
            <w:tcW w:w="1701" w:type="dxa"/>
            <w:tcBorders>
              <w:top w:val="nil"/>
              <w:left w:val="nil"/>
              <w:bottom w:val="nil"/>
              <w:right w:val="nil"/>
            </w:tcBorders>
          </w:tcPr>
          <w:p w14:paraId="3D6FEC58" w14:textId="77777777" w:rsidR="00BB7C15" w:rsidRPr="00F92110" w:rsidRDefault="00BB7C15" w:rsidP="00D0734C">
            <w:pPr>
              <w:pStyle w:val="html-xx"/>
              <w:spacing w:before="0" w:beforeAutospacing="0" w:after="0" w:afterAutospacing="0"/>
              <w:jc w:val="center"/>
              <w:rPr>
                <w:color w:val="222222"/>
              </w:rPr>
            </w:pPr>
            <w:r>
              <w:rPr>
                <w:color w:val="222222"/>
              </w:rPr>
              <w:t>1.5, 3, 5</w:t>
            </w:r>
          </w:p>
        </w:tc>
        <w:tc>
          <w:tcPr>
            <w:tcW w:w="1418" w:type="dxa"/>
            <w:tcBorders>
              <w:top w:val="nil"/>
              <w:left w:val="nil"/>
              <w:bottom w:val="nil"/>
              <w:right w:val="nil"/>
            </w:tcBorders>
          </w:tcPr>
          <w:p w14:paraId="09CAC849" w14:textId="77777777" w:rsidR="00BB7C15" w:rsidRPr="00F92110" w:rsidRDefault="00BB7C15" w:rsidP="00D0734C">
            <w:pPr>
              <w:pStyle w:val="html-xx"/>
              <w:spacing w:before="0" w:beforeAutospacing="0" w:after="0" w:afterAutospacing="0"/>
              <w:jc w:val="center"/>
              <w:rPr>
                <w:color w:val="222222"/>
              </w:rPr>
            </w:pPr>
            <w:r>
              <w:rPr>
                <w:color w:val="222222"/>
              </w:rPr>
              <w:t>Mother</w:t>
            </w:r>
          </w:p>
        </w:tc>
        <w:tc>
          <w:tcPr>
            <w:tcW w:w="1134" w:type="dxa"/>
            <w:tcBorders>
              <w:top w:val="nil"/>
              <w:left w:val="nil"/>
              <w:bottom w:val="nil"/>
              <w:right w:val="nil"/>
            </w:tcBorders>
          </w:tcPr>
          <w:p w14:paraId="4372439A" w14:textId="77777777" w:rsidR="00BB7C15" w:rsidRPr="00F92110" w:rsidRDefault="00BB7C15" w:rsidP="00D0734C">
            <w:pPr>
              <w:pStyle w:val="html-xx"/>
              <w:spacing w:before="0" w:beforeAutospacing="0" w:after="0" w:afterAutospacing="0"/>
              <w:jc w:val="center"/>
              <w:rPr>
                <w:color w:val="222222"/>
              </w:rPr>
            </w:pPr>
            <w:r w:rsidRPr="00592C74">
              <w:rPr>
                <w:color w:val="222222"/>
              </w:rPr>
              <w:t>Numeric</w:t>
            </w:r>
          </w:p>
        </w:tc>
        <w:tc>
          <w:tcPr>
            <w:tcW w:w="2551" w:type="dxa"/>
            <w:tcBorders>
              <w:top w:val="nil"/>
              <w:left w:val="nil"/>
              <w:bottom w:val="nil"/>
              <w:right w:val="nil"/>
            </w:tcBorders>
          </w:tcPr>
          <w:p w14:paraId="119855CC" w14:textId="77777777" w:rsidR="00BB7C15" w:rsidRPr="00F92110" w:rsidRDefault="00BB7C15" w:rsidP="00D0734C">
            <w:pPr>
              <w:pStyle w:val="html-xx"/>
              <w:spacing w:before="0" w:beforeAutospacing="0" w:after="0" w:afterAutospacing="0"/>
              <w:jc w:val="center"/>
              <w:rPr>
                <w:color w:val="222222"/>
              </w:rPr>
            </w:pPr>
            <w:r w:rsidRPr="00E613B3">
              <w:rPr>
                <w:color w:val="222222"/>
              </w:rPr>
              <w:t>Continous</w:t>
            </w:r>
          </w:p>
        </w:tc>
      </w:tr>
      <w:tr w:rsidR="00BB7C15" w:rsidRPr="00F92110" w14:paraId="6D110E62" w14:textId="77777777" w:rsidTr="00D0734C">
        <w:tc>
          <w:tcPr>
            <w:tcW w:w="4536" w:type="dxa"/>
            <w:tcBorders>
              <w:top w:val="nil"/>
              <w:left w:val="nil"/>
              <w:bottom w:val="nil"/>
              <w:right w:val="nil"/>
            </w:tcBorders>
          </w:tcPr>
          <w:p w14:paraId="1891D8E0" w14:textId="77777777" w:rsidR="00BB7C15" w:rsidRPr="00F92110" w:rsidRDefault="00BB7C15" w:rsidP="00D0734C">
            <w:pPr>
              <w:pStyle w:val="html-xx"/>
              <w:spacing w:before="0" w:beforeAutospacing="0" w:after="0" w:afterAutospacing="0"/>
              <w:jc w:val="both"/>
              <w:rPr>
                <w:color w:val="222222"/>
              </w:rPr>
            </w:pPr>
            <w:r>
              <w:rPr>
                <w:color w:val="222222"/>
              </w:rPr>
              <w:t>Child’s social behavior (SDQ)</w:t>
            </w:r>
          </w:p>
        </w:tc>
        <w:tc>
          <w:tcPr>
            <w:tcW w:w="1701" w:type="dxa"/>
            <w:tcBorders>
              <w:top w:val="nil"/>
              <w:left w:val="nil"/>
              <w:bottom w:val="nil"/>
              <w:right w:val="nil"/>
            </w:tcBorders>
          </w:tcPr>
          <w:p w14:paraId="2E39B98E" w14:textId="77777777" w:rsidR="00BB7C15" w:rsidRPr="00F92110" w:rsidRDefault="00BB7C15" w:rsidP="00D0734C">
            <w:pPr>
              <w:pStyle w:val="html-xx"/>
              <w:spacing w:before="0" w:beforeAutospacing="0" w:after="0" w:afterAutospacing="0"/>
              <w:jc w:val="center"/>
              <w:rPr>
                <w:color w:val="222222"/>
              </w:rPr>
            </w:pPr>
            <w:r>
              <w:rPr>
                <w:color w:val="222222"/>
              </w:rPr>
              <w:t>3, 5</w:t>
            </w:r>
          </w:p>
        </w:tc>
        <w:tc>
          <w:tcPr>
            <w:tcW w:w="1418" w:type="dxa"/>
            <w:tcBorders>
              <w:top w:val="nil"/>
              <w:left w:val="nil"/>
              <w:bottom w:val="nil"/>
              <w:right w:val="nil"/>
            </w:tcBorders>
          </w:tcPr>
          <w:p w14:paraId="77904E8E" w14:textId="77777777" w:rsidR="00BB7C15" w:rsidRPr="00F92110" w:rsidRDefault="00BB7C15" w:rsidP="00D0734C">
            <w:pPr>
              <w:pStyle w:val="html-xx"/>
              <w:spacing w:before="0" w:beforeAutospacing="0" w:after="0" w:afterAutospacing="0"/>
              <w:jc w:val="center"/>
              <w:rPr>
                <w:color w:val="222222"/>
              </w:rPr>
            </w:pPr>
            <w:r>
              <w:rPr>
                <w:color w:val="222222"/>
              </w:rPr>
              <w:t>Mother</w:t>
            </w:r>
          </w:p>
        </w:tc>
        <w:tc>
          <w:tcPr>
            <w:tcW w:w="1134" w:type="dxa"/>
            <w:tcBorders>
              <w:top w:val="nil"/>
              <w:left w:val="nil"/>
              <w:bottom w:val="nil"/>
              <w:right w:val="nil"/>
            </w:tcBorders>
          </w:tcPr>
          <w:p w14:paraId="762292D9" w14:textId="77777777" w:rsidR="00BB7C15" w:rsidRPr="00F92110" w:rsidRDefault="00BB7C15" w:rsidP="00D0734C">
            <w:pPr>
              <w:pStyle w:val="html-xx"/>
              <w:spacing w:before="0" w:beforeAutospacing="0" w:after="0" w:afterAutospacing="0"/>
              <w:jc w:val="center"/>
              <w:rPr>
                <w:color w:val="222222"/>
              </w:rPr>
            </w:pPr>
            <w:r w:rsidRPr="00592C74">
              <w:rPr>
                <w:color w:val="222222"/>
              </w:rPr>
              <w:t>Numeric</w:t>
            </w:r>
          </w:p>
        </w:tc>
        <w:tc>
          <w:tcPr>
            <w:tcW w:w="2551" w:type="dxa"/>
            <w:tcBorders>
              <w:top w:val="nil"/>
              <w:left w:val="nil"/>
              <w:bottom w:val="nil"/>
              <w:right w:val="nil"/>
            </w:tcBorders>
          </w:tcPr>
          <w:p w14:paraId="27687303" w14:textId="77777777" w:rsidR="00BB7C15" w:rsidRPr="00F92110" w:rsidRDefault="00BB7C15" w:rsidP="00D0734C">
            <w:pPr>
              <w:pStyle w:val="html-xx"/>
              <w:spacing w:before="0" w:beforeAutospacing="0" w:after="0" w:afterAutospacing="0"/>
              <w:jc w:val="center"/>
              <w:rPr>
                <w:color w:val="222222"/>
              </w:rPr>
            </w:pPr>
            <w:r w:rsidRPr="00E613B3">
              <w:rPr>
                <w:color w:val="222222"/>
              </w:rPr>
              <w:t>Continous</w:t>
            </w:r>
          </w:p>
        </w:tc>
      </w:tr>
      <w:tr w:rsidR="00BB7C15" w:rsidRPr="00F92110" w14:paraId="2158AEEE" w14:textId="77777777" w:rsidTr="00D0734C">
        <w:tc>
          <w:tcPr>
            <w:tcW w:w="4536" w:type="dxa"/>
            <w:tcBorders>
              <w:top w:val="nil"/>
              <w:left w:val="nil"/>
              <w:bottom w:val="nil"/>
              <w:right w:val="nil"/>
            </w:tcBorders>
          </w:tcPr>
          <w:p w14:paraId="4261ACB4" w14:textId="77777777" w:rsidR="00BB7C15" w:rsidRPr="00F92110" w:rsidRDefault="00BB7C15" w:rsidP="00D0734C">
            <w:pPr>
              <w:pStyle w:val="html-xx"/>
              <w:spacing w:before="0" w:beforeAutospacing="0" w:after="0" w:afterAutospacing="0"/>
              <w:jc w:val="both"/>
              <w:rPr>
                <w:color w:val="222222"/>
              </w:rPr>
            </w:pPr>
            <w:r>
              <w:rPr>
                <w:color w:val="222222"/>
              </w:rPr>
              <w:t xml:space="preserve">Child’s social development/interest in others (SCQ) </w:t>
            </w:r>
          </w:p>
        </w:tc>
        <w:tc>
          <w:tcPr>
            <w:tcW w:w="1701" w:type="dxa"/>
            <w:tcBorders>
              <w:top w:val="nil"/>
              <w:left w:val="nil"/>
              <w:bottom w:val="nil"/>
              <w:right w:val="nil"/>
            </w:tcBorders>
          </w:tcPr>
          <w:p w14:paraId="382B4CD5" w14:textId="77777777" w:rsidR="00BB7C15" w:rsidRPr="00F92110" w:rsidRDefault="00BB7C15" w:rsidP="00D0734C">
            <w:pPr>
              <w:pStyle w:val="html-xx"/>
              <w:spacing w:before="0" w:beforeAutospacing="0" w:after="0" w:afterAutospacing="0"/>
              <w:jc w:val="center"/>
              <w:rPr>
                <w:color w:val="222222"/>
              </w:rPr>
            </w:pPr>
            <w:r>
              <w:rPr>
                <w:color w:val="222222"/>
              </w:rPr>
              <w:t>3, 5</w:t>
            </w:r>
          </w:p>
        </w:tc>
        <w:tc>
          <w:tcPr>
            <w:tcW w:w="1418" w:type="dxa"/>
            <w:tcBorders>
              <w:top w:val="nil"/>
              <w:left w:val="nil"/>
              <w:bottom w:val="nil"/>
              <w:right w:val="nil"/>
            </w:tcBorders>
          </w:tcPr>
          <w:p w14:paraId="702F603E" w14:textId="77777777" w:rsidR="00BB7C15" w:rsidRPr="00F92110" w:rsidRDefault="00BB7C15" w:rsidP="00D0734C">
            <w:pPr>
              <w:pStyle w:val="html-xx"/>
              <w:spacing w:before="0" w:beforeAutospacing="0" w:after="0" w:afterAutospacing="0"/>
              <w:jc w:val="center"/>
              <w:rPr>
                <w:color w:val="222222"/>
              </w:rPr>
            </w:pPr>
            <w:r>
              <w:rPr>
                <w:color w:val="222222"/>
              </w:rPr>
              <w:t>Mother</w:t>
            </w:r>
          </w:p>
        </w:tc>
        <w:tc>
          <w:tcPr>
            <w:tcW w:w="1134" w:type="dxa"/>
            <w:tcBorders>
              <w:top w:val="nil"/>
              <w:left w:val="nil"/>
              <w:bottom w:val="nil"/>
              <w:right w:val="nil"/>
            </w:tcBorders>
          </w:tcPr>
          <w:p w14:paraId="648C14B2" w14:textId="77777777" w:rsidR="00BB7C15" w:rsidRPr="00F92110" w:rsidRDefault="00BB7C15" w:rsidP="00D0734C">
            <w:pPr>
              <w:pStyle w:val="html-xx"/>
              <w:spacing w:before="0" w:beforeAutospacing="0" w:after="0" w:afterAutospacing="0"/>
              <w:jc w:val="center"/>
              <w:rPr>
                <w:color w:val="222222"/>
              </w:rPr>
            </w:pPr>
            <w:r w:rsidRPr="00592C74">
              <w:rPr>
                <w:color w:val="222222"/>
              </w:rPr>
              <w:t>Numeric</w:t>
            </w:r>
          </w:p>
        </w:tc>
        <w:tc>
          <w:tcPr>
            <w:tcW w:w="2551" w:type="dxa"/>
            <w:tcBorders>
              <w:top w:val="nil"/>
              <w:left w:val="nil"/>
              <w:bottom w:val="nil"/>
              <w:right w:val="nil"/>
            </w:tcBorders>
          </w:tcPr>
          <w:p w14:paraId="6D02D956" w14:textId="77777777" w:rsidR="00BB7C15" w:rsidRPr="00F92110" w:rsidRDefault="00BB7C15" w:rsidP="00D0734C">
            <w:pPr>
              <w:pStyle w:val="html-xx"/>
              <w:spacing w:before="0" w:beforeAutospacing="0" w:after="0" w:afterAutospacing="0"/>
              <w:jc w:val="center"/>
              <w:rPr>
                <w:color w:val="222222"/>
              </w:rPr>
            </w:pPr>
            <w:r w:rsidRPr="00E613B3">
              <w:rPr>
                <w:color w:val="222222"/>
              </w:rPr>
              <w:t>Continous</w:t>
            </w:r>
          </w:p>
        </w:tc>
      </w:tr>
      <w:tr w:rsidR="00BB7C15" w:rsidRPr="00F92110" w14:paraId="1F4857C4" w14:textId="77777777" w:rsidTr="00D0734C">
        <w:tc>
          <w:tcPr>
            <w:tcW w:w="4536" w:type="dxa"/>
            <w:tcBorders>
              <w:top w:val="nil"/>
              <w:left w:val="nil"/>
              <w:bottom w:val="single" w:sz="4" w:space="0" w:color="auto"/>
              <w:right w:val="nil"/>
            </w:tcBorders>
          </w:tcPr>
          <w:p w14:paraId="623BAF82" w14:textId="77777777" w:rsidR="00BB7C15" w:rsidRPr="00F92110" w:rsidRDefault="00BB7C15" w:rsidP="00D0734C">
            <w:pPr>
              <w:pStyle w:val="html-xx"/>
              <w:spacing w:before="0" w:beforeAutospacing="0" w:after="0" w:afterAutospacing="0"/>
              <w:jc w:val="both"/>
              <w:rPr>
                <w:color w:val="222222"/>
              </w:rPr>
            </w:pPr>
            <w:r>
              <w:rPr>
                <w:color w:val="222222"/>
              </w:rPr>
              <w:t>Child’s social play (PPBS)</w:t>
            </w:r>
          </w:p>
        </w:tc>
        <w:tc>
          <w:tcPr>
            <w:tcW w:w="1701" w:type="dxa"/>
            <w:tcBorders>
              <w:top w:val="nil"/>
              <w:left w:val="nil"/>
              <w:bottom w:val="single" w:sz="4" w:space="0" w:color="auto"/>
              <w:right w:val="nil"/>
            </w:tcBorders>
          </w:tcPr>
          <w:p w14:paraId="26C90045" w14:textId="77777777" w:rsidR="00BB7C15" w:rsidRPr="00F92110" w:rsidRDefault="00BB7C15" w:rsidP="00D0734C">
            <w:pPr>
              <w:pStyle w:val="html-xx"/>
              <w:spacing w:before="0" w:beforeAutospacing="0" w:after="0" w:afterAutospacing="0"/>
              <w:jc w:val="center"/>
              <w:rPr>
                <w:color w:val="222222"/>
              </w:rPr>
            </w:pPr>
            <w:r>
              <w:rPr>
                <w:color w:val="222222"/>
              </w:rPr>
              <w:t>5</w:t>
            </w:r>
          </w:p>
        </w:tc>
        <w:tc>
          <w:tcPr>
            <w:tcW w:w="1418" w:type="dxa"/>
            <w:tcBorders>
              <w:top w:val="nil"/>
              <w:left w:val="nil"/>
              <w:bottom w:val="single" w:sz="4" w:space="0" w:color="auto"/>
              <w:right w:val="nil"/>
            </w:tcBorders>
          </w:tcPr>
          <w:p w14:paraId="081C1C14" w14:textId="77777777" w:rsidR="00BB7C15" w:rsidRPr="00F92110" w:rsidRDefault="00BB7C15" w:rsidP="00D0734C">
            <w:pPr>
              <w:pStyle w:val="html-xx"/>
              <w:spacing w:before="0" w:beforeAutospacing="0" w:after="0" w:afterAutospacing="0"/>
              <w:jc w:val="center"/>
              <w:rPr>
                <w:color w:val="222222"/>
              </w:rPr>
            </w:pPr>
            <w:r>
              <w:rPr>
                <w:color w:val="222222"/>
              </w:rPr>
              <w:t>Mother</w:t>
            </w:r>
          </w:p>
        </w:tc>
        <w:tc>
          <w:tcPr>
            <w:tcW w:w="1134" w:type="dxa"/>
            <w:tcBorders>
              <w:top w:val="nil"/>
              <w:left w:val="nil"/>
              <w:bottom w:val="single" w:sz="4" w:space="0" w:color="auto"/>
              <w:right w:val="nil"/>
            </w:tcBorders>
          </w:tcPr>
          <w:p w14:paraId="396DE9E8" w14:textId="77777777" w:rsidR="00BB7C15" w:rsidRPr="00F92110" w:rsidRDefault="00BB7C15" w:rsidP="00D0734C">
            <w:pPr>
              <w:pStyle w:val="html-xx"/>
              <w:spacing w:before="0" w:beforeAutospacing="0" w:after="0" w:afterAutospacing="0"/>
              <w:jc w:val="center"/>
              <w:rPr>
                <w:color w:val="222222"/>
              </w:rPr>
            </w:pPr>
            <w:r w:rsidRPr="00592C74">
              <w:rPr>
                <w:color w:val="222222"/>
              </w:rPr>
              <w:t>Numeric</w:t>
            </w:r>
          </w:p>
        </w:tc>
        <w:tc>
          <w:tcPr>
            <w:tcW w:w="2551" w:type="dxa"/>
            <w:tcBorders>
              <w:top w:val="nil"/>
              <w:left w:val="nil"/>
              <w:bottom w:val="single" w:sz="4" w:space="0" w:color="auto"/>
              <w:right w:val="nil"/>
            </w:tcBorders>
          </w:tcPr>
          <w:p w14:paraId="48B33D6D" w14:textId="77777777" w:rsidR="00BB7C15" w:rsidRPr="00F92110" w:rsidRDefault="00BB7C15" w:rsidP="00D0734C">
            <w:pPr>
              <w:pStyle w:val="html-xx"/>
              <w:spacing w:before="0" w:beforeAutospacing="0" w:after="0" w:afterAutospacing="0"/>
              <w:jc w:val="center"/>
              <w:rPr>
                <w:color w:val="222222"/>
              </w:rPr>
            </w:pPr>
            <w:r w:rsidRPr="00E613B3">
              <w:rPr>
                <w:color w:val="222222"/>
              </w:rPr>
              <w:t>Continous</w:t>
            </w:r>
          </w:p>
        </w:tc>
      </w:tr>
      <w:tr w:rsidR="00BB7C15" w:rsidRPr="00F92110" w14:paraId="1A02F3CC" w14:textId="77777777" w:rsidTr="00D0734C">
        <w:tc>
          <w:tcPr>
            <w:tcW w:w="11340" w:type="dxa"/>
            <w:gridSpan w:val="5"/>
            <w:tcBorders>
              <w:top w:val="single" w:sz="4" w:space="0" w:color="auto"/>
              <w:left w:val="nil"/>
              <w:bottom w:val="nil"/>
              <w:right w:val="nil"/>
            </w:tcBorders>
          </w:tcPr>
          <w:p w14:paraId="355BB386" w14:textId="77777777" w:rsidR="00BB7C15" w:rsidRPr="00E613B3" w:rsidRDefault="00BB7C15" w:rsidP="00D0734C">
            <w:pPr>
              <w:pStyle w:val="html-xx"/>
              <w:spacing w:before="0" w:beforeAutospacing="0" w:after="0" w:afterAutospacing="0"/>
              <w:rPr>
                <w:color w:val="222222"/>
              </w:rPr>
            </w:pPr>
            <w:r w:rsidRPr="00510607">
              <w:rPr>
                <w:i/>
                <w:iCs/>
                <w:color w:val="222222"/>
              </w:rPr>
              <w:t>CBCL</w:t>
            </w:r>
            <w:r>
              <w:rPr>
                <w:color w:val="222222"/>
              </w:rPr>
              <w:t xml:space="preserve"> </w:t>
            </w:r>
            <w:r w:rsidRPr="00700674">
              <w:rPr>
                <w:i/>
                <w:iCs/>
                <w:sz w:val="20"/>
                <w:szCs w:val="20"/>
              </w:rPr>
              <w:t>=</w:t>
            </w:r>
            <w:r>
              <w:rPr>
                <w:i/>
                <w:iCs/>
                <w:sz w:val="20"/>
                <w:szCs w:val="20"/>
              </w:rPr>
              <w:t xml:space="preserve"> Child Behavior Checklist; EAS </w:t>
            </w:r>
            <w:r w:rsidRPr="00700674">
              <w:rPr>
                <w:i/>
                <w:iCs/>
                <w:sz w:val="20"/>
                <w:szCs w:val="20"/>
              </w:rPr>
              <w:t>=</w:t>
            </w:r>
            <w:r>
              <w:rPr>
                <w:i/>
                <w:iCs/>
                <w:sz w:val="20"/>
                <w:szCs w:val="20"/>
              </w:rPr>
              <w:t xml:space="preserve"> Emotionality, Acticity and Shyness Temperament Questionnaire; SDQ </w:t>
            </w:r>
            <w:r w:rsidRPr="00700674">
              <w:rPr>
                <w:i/>
                <w:iCs/>
                <w:sz w:val="20"/>
                <w:szCs w:val="20"/>
              </w:rPr>
              <w:t>=</w:t>
            </w:r>
            <w:r>
              <w:rPr>
                <w:i/>
                <w:iCs/>
                <w:sz w:val="20"/>
                <w:szCs w:val="20"/>
              </w:rPr>
              <w:t xml:space="preserve"> Strength and Difficulties Questionnaire; SCQ </w:t>
            </w:r>
            <w:r w:rsidRPr="00700674">
              <w:rPr>
                <w:i/>
                <w:iCs/>
                <w:sz w:val="20"/>
                <w:szCs w:val="20"/>
              </w:rPr>
              <w:t>=</w:t>
            </w:r>
            <w:r>
              <w:rPr>
                <w:i/>
                <w:iCs/>
                <w:sz w:val="20"/>
                <w:szCs w:val="20"/>
              </w:rPr>
              <w:t xml:space="preserve"> Social Communication Questionnaire; PPBS </w:t>
            </w:r>
            <w:r w:rsidRPr="00700674">
              <w:rPr>
                <w:i/>
                <w:iCs/>
                <w:sz w:val="20"/>
                <w:szCs w:val="20"/>
              </w:rPr>
              <w:t>=</w:t>
            </w:r>
            <w:r>
              <w:rPr>
                <w:i/>
                <w:iCs/>
                <w:sz w:val="20"/>
                <w:szCs w:val="20"/>
              </w:rPr>
              <w:t xml:space="preserve"> Preschool Play Behavior Scale</w:t>
            </w:r>
          </w:p>
        </w:tc>
      </w:tr>
    </w:tbl>
    <w:p w14:paraId="6A14BA90" w14:textId="77777777" w:rsidR="00BB7C15" w:rsidRDefault="00BB7C15" w:rsidP="00BB7C15">
      <w:pPr>
        <w:spacing w:line="480" w:lineRule="auto"/>
        <w:rPr>
          <w:rFonts w:ascii="Times New Roman" w:eastAsia="Times New Roman" w:hAnsi="Times New Roman" w:cs="Times New Roman"/>
          <w:b/>
          <w:bCs/>
          <w:color w:val="000000"/>
          <w:kern w:val="0"/>
          <w:lang w:eastAsia="en-GB"/>
          <w14:ligatures w14:val="none"/>
        </w:rPr>
      </w:pPr>
    </w:p>
    <w:p w14:paraId="722456F5" w14:textId="77777777" w:rsidR="00BB7C15" w:rsidRDefault="00BB7C15" w:rsidP="00BB7C15">
      <w:pPr>
        <w:spacing w:line="480" w:lineRule="auto"/>
        <w:rPr>
          <w:rFonts w:ascii="Times New Roman" w:eastAsia="Times New Roman" w:hAnsi="Times New Roman" w:cs="Times New Roman"/>
          <w:b/>
          <w:bCs/>
          <w:color w:val="000000"/>
          <w:kern w:val="0"/>
          <w:lang w:eastAsia="en-GB"/>
          <w14:ligatures w14:val="none"/>
        </w:rPr>
      </w:pPr>
    </w:p>
    <w:p w14:paraId="292AD3A6" w14:textId="77777777" w:rsidR="00FA78DB" w:rsidRPr="00BB7C15" w:rsidRDefault="00FA78DB" w:rsidP="00FA78DB">
      <w:pPr>
        <w:ind w:left="-1134"/>
        <w:rPr>
          <w:rFonts w:ascii="Times New Roman" w:hAnsi="Times New Roman" w:cs="Times New Roman"/>
          <w:b/>
          <w:bCs/>
          <w:color w:val="000000" w:themeColor="text1"/>
        </w:rPr>
      </w:pPr>
      <w:r w:rsidRPr="00BB7C15">
        <w:rPr>
          <w:rFonts w:ascii="Times New Roman" w:hAnsi="Times New Roman" w:cs="Times New Roman"/>
          <w:b/>
          <w:bCs/>
          <w:color w:val="000000" w:themeColor="text1"/>
        </w:rPr>
        <w:t>Supplementary Table S3: Statistics single-polygenic score models</w:t>
      </w:r>
    </w:p>
    <w:p w14:paraId="6B066111" w14:textId="77777777" w:rsidR="00FA78DB" w:rsidRDefault="00FA78DB" w:rsidP="00FA78DB">
      <w:pPr>
        <w:ind w:left="-1134"/>
        <w:rPr>
          <w:rFonts w:ascii="Times New Roman" w:eastAsia="Times New Roman" w:hAnsi="Times New Roman" w:cs="Times New Roman"/>
          <w:b/>
          <w:bCs/>
          <w:color w:val="000000"/>
          <w:kern w:val="0"/>
          <w:lang w:eastAsia="en-GB"/>
          <w14:ligatures w14:val="none"/>
        </w:rPr>
      </w:pPr>
    </w:p>
    <w:p w14:paraId="6EC6BA3D" w14:textId="77777777" w:rsidR="00FA78DB" w:rsidRPr="006A57BE" w:rsidRDefault="00FA78DB" w:rsidP="00FA78DB">
      <w:pPr>
        <w:ind w:left="-1134"/>
        <w:rPr>
          <w:rFonts w:ascii="Times New Roman" w:hAnsi="Times New Roman" w:cs="Times New Roman"/>
          <w:b/>
          <w:i/>
          <w:color w:val="000000" w:themeColor="text1"/>
          <w:u w:val="single"/>
        </w:rPr>
      </w:pPr>
      <w:r w:rsidRPr="006A57BE">
        <w:rPr>
          <w:rFonts w:ascii="Times New Roman" w:hAnsi="Times New Roman" w:cs="Times New Roman"/>
          <w:b/>
          <w:i/>
          <w:color w:val="000000" w:themeColor="text1"/>
          <w:u w:val="single"/>
        </w:rPr>
        <w:t>[see attachment: ‘</w:t>
      </w:r>
      <w:r w:rsidRPr="006A57BE">
        <w:rPr>
          <w:rFonts w:ascii="Times New Roman" w:hAnsi="Times New Roman" w:cs="Times New Roman"/>
          <w:b/>
          <w:i/>
          <w:color w:val="000000" w:themeColor="text1"/>
        </w:rPr>
        <w:t>Supplementary Table S</w:t>
      </w:r>
      <w:r>
        <w:rPr>
          <w:rFonts w:ascii="Times New Roman" w:hAnsi="Times New Roman" w:cs="Times New Roman"/>
          <w:b/>
          <w:i/>
          <w:color w:val="000000" w:themeColor="text1"/>
        </w:rPr>
        <w:t>3</w:t>
      </w:r>
      <w:r w:rsidRPr="006A57BE">
        <w:rPr>
          <w:rFonts w:ascii="Times New Roman" w:hAnsi="Times New Roman" w:cs="Times New Roman"/>
          <w:b/>
          <w:i/>
          <w:color w:val="000000" w:themeColor="text1"/>
        </w:rPr>
        <w:t>.</w:t>
      </w:r>
      <w:r>
        <w:rPr>
          <w:rFonts w:ascii="Times New Roman" w:hAnsi="Times New Roman" w:cs="Times New Roman"/>
          <w:b/>
          <w:i/>
          <w:color w:val="000000" w:themeColor="text1"/>
        </w:rPr>
        <w:t>xlsx</w:t>
      </w:r>
      <w:r w:rsidRPr="006A57BE">
        <w:rPr>
          <w:rFonts w:ascii="Times New Roman" w:hAnsi="Times New Roman" w:cs="Times New Roman"/>
          <w:b/>
          <w:i/>
          <w:color w:val="000000" w:themeColor="text1"/>
        </w:rPr>
        <w:t>’</w:t>
      </w:r>
      <w:r w:rsidRPr="006A57BE">
        <w:rPr>
          <w:rFonts w:ascii="Times New Roman" w:hAnsi="Times New Roman" w:cs="Times New Roman"/>
          <w:b/>
          <w:i/>
          <w:color w:val="000000" w:themeColor="text1"/>
          <w:u w:val="single"/>
        </w:rPr>
        <w:t>]</w:t>
      </w:r>
    </w:p>
    <w:p w14:paraId="1CE59074" w14:textId="5D612C35" w:rsidR="00BB7C15" w:rsidRDefault="00BB7C15" w:rsidP="00BB7C15">
      <w:pPr>
        <w:spacing w:line="480" w:lineRule="auto"/>
        <w:rPr>
          <w:rFonts w:ascii="Times New Roman" w:eastAsia="Times New Roman" w:hAnsi="Times New Roman" w:cs="Times New Roman"/>
          <w:b/>
          <w:bCs/>
          <w:color w:val="000000"/>
          <w:kern w:val="0"/>
          <w:lang w:eastAsia="en-GB"/>
          <w14:ligatures w14:val="none"/>
        </w:rPr>
        <w:sectPr w:rsidR="00BB7C15">
          <w:pgSz w:w="11906" w:h="16838"/>
          <w:pgMar w:top="1440" w:right="1440" w:bottom="1440" w:left="1440" w:header="708" w:footer="708" w:gutter="0"/>
          <w:cols w:space="708"/>
          <w:docGrid w:linePitch="360"/>
        </w:sectPr>
      </w:pPr>
    </w:p>
    <w:p w14:paraId="0C8E9F8B" w14:textId="7814CD7C" w:rsidR="006A57BE" w:rsidRPr="006A57BE" w:rsidRDefault="006A57BE" w:rsidP="006A57BE">
      <w:pPr>
        <w:spacing w:line="480" w:lineRule="auto"/>
        <w:rPr>
          <w:rFonts w:ascii="Times New Roman" w:hAnsi="Times New Roman" w:cs="Times New Roman"/>
          <w:b/>
          <w:color w:val="000000" w:themeColor="text1"/>
          <w:sz w:val="22"/>
          <w:szCs w:val="22"/>
        </w:rPr>
      </w:pPr>
      <w:r w:rsidRPr="006A57BE">
        <w:rPr>
          <w:rFonts w:ascii="Times New Roman" w:hAnsi="Times New Roman" w:cs="Times New Roman"/>
          <w:b/>
          <w:color w:val="000000" w:themeColor="text1"/>
          <w:sz w:val="22"/>
          <w:szCs w:val="22"/>
        </w:rPr>
        <w:lastRenderedPageBreak/>
        <w:t>Supplementary Notes</w:t>
      </w:r>
    </w:p>
    <w:p w14:paraId="2E36F9AA" w14:textId="5271DE56" w:rsidR="00BB7C15" w:rsidRPr="00FA78DB" w:rsidRDefault="006A57BE" w:rsidP="006A57BE">
      <w:pPr>
        <w:spacing w:line="480" w:lineRule="auto"/>
        <w:rPr>
          <w:rFonts w:ascii="Arial" w:hAnsi="Arial" w:cs="Arial"/>
          <w:b/>
          <w:iCs/>
          <w:color w:val="000000" w:themeColor="text1"/>
          <w:sz w:val="22"/>
          <w:szCs w:val="22"/>
        </w:rPr>
      </w:pPr>
      <w:r w:rsidRPr="00FA78DB">
        <w:rPr>
          <w:rFonts w:ascii="Times New Roman" w:hAnsi="Times New Roman" w:cs="Times New Roman"/>
          <w:b/>
          <w:iCs/>
          <w:sz w:val="22"/>
          <w:szCs w:val="22"/>
        </w:rPr>
        <w:t xml:space="preserve">Supplementary Methods S1: </w:t>
      </w:r>
      <w:r w:rsidR="00BB7C15" w:rsidRPr="00FA78DB">
        <w:rPr>
          <w:rFonts w:ascii="Times New Roman" w:eastAsia="Times New Roman" w:hAnsi="Times New Roman" w:cs="Times New Roman"/>
          <w:b/>
          <w:bCs/>
          <w:iCs/>
          <w:color w:val="000000"/>
          <w:kern w:val="0"/>
          <w:lang w:eastAsia="en-GB"/>
          <w14:ligatures w14:val="none"/>
        </w:rPr>
        <w:t>Summary statistics used to conduct polygenic scores</w:t>
      </w:r>
    </w:p>
    <w:p w14:paraId="0E14BEEF" w14:textId="77777777" w:rsidR="00BB7C15" w:rsidRPr="006210CA" w:rsidRDefault="00BB7C15" w:rsidP="006A57BE">
      <w:pPr>
        <w:spacing w:line="480" w:lineRule="auto"/>
        <w:rPr>
          <w:rFonts w:ascii="Times New Roman" w:eastAsia="Times New Roman" w:hAnsi="Times New Roman" w:cs="Times New Roman"/>
          <w:color w:val="000000"/>
          <w:kern w:val="0"/>
          <w:lang w:eastAsia="en-GB"/>
          <w14:ligatures w14:val="none"/>
        </w:rPr>
      </w:pPr>
      <w:r w:rsidRPr="006210CA">
        <w:rPr>
          <w:rFonts w:ascii="Times New Roman" w:eastAsia="Times New Roman" w:hAnsi="Times New Roman" w:cs="Times New Roman"/>
          <w:color w:val="000000"/>
          <w:kern w:val="0"/>
          <w:lang w:eastAsia="en-GB"/>
          <w14:ligatures w14:val="none"/>
        </w:rPr>
        <w:t>Polygenic scores were computed for risk factors using GWAS summary statistics from samples of European descent. The GWAS selected had sufficient power for polygenic score analysis based on established criteria: SNP-heritability (SNP-</w:t>
      </w:r>
      <w:r w:rsidRPr="00AC65F3">
        <w:rPr>
          <w:rFonts w:ascii="Times New Roman" w:eastAsia="Times New Roman" w:hAnsi="Times New Roman" w:cs="Times New Roman"/>
          <w:i/>
          <w:iCs/>
          <w:color w:val="1C1D1E"/>
          <w:kern w:val="0"/>
          <w:shd w:val="clear" w:color="auto" w:fill="FFFFFF"/>
          <w:lang w:eastAsia="en-GB"/>
          <w14:ligatures w14:val="none"/>
        </w:rPr>
        <w:t>h</w:t>
      </w:r>
      <w:r w:rsidRPr="00AC65F3">
        <w:rPr>
          <w:rFonts w:ascii="Times New Roman" w:eastAsia="Times New Roman" w:hAnsi="Times New Roman" w:cs="Times New Roman"/>
          <w:i/>
          <w:iCs/>
          <w:color w:val="1C1D1E"/>
          <w:kern w:val="0"/>
          <w:shd w:val="clear" w:color="auto" w:fill="FFFFFF"/>
          <w:vertAlign w:val="superscript"/>
          <w:lang w:eastAsia="en-GB"/>
          <w14:ligatures w14:val="none"/>
        </w:rPr>
        <w:t>2</w:t>
      </w:r>
      <w:r w:rsidRPr="006210CA">
        <w:rPr>
          <w:rFonts w:ascii="Times New Roman" w:eastAsia="Times New Roman" w:hAnsi="Times New Roman" w:cs="Times New Roman"/>
          <w:color w:val="000000"/>
          <w:kern w:val="0"/>
          <w:lang w:eastAsia="en-GB"/>
          <w14:ligatures w14:val="none"/>
        </w:rPr>
        <w:t>) estimates higher than 0.05 and SNP-</w:t>
      </w:r>
      <w:r w:rsidRPr="00AC65F3">
        <w:rPr>
          <w:rFonts w:ascii="Times New Roman" w:eastAsia="Times New Roman" w:hAnsi="Times New Roman" w:cs="Times New Roman"/>
          <w:i/>
          <w:iCs/>
          <w:color w:val="1C1D1E"/>
          <w:kern w:val="0"/>
          <w:shd w:val="clear" w:color="auto" w:fill="FFFFFF"/>
          <w:lang w:eastAsia="en-GB"/>
          <w14:ligatures w14:val="none"/>
        </w:rPr>
        <w:t>h</w:t>
      </w:r>
      <w:r w:rsidRPr="00AC65F3">
        <w:rPr>
          <w:rFonts w:ascii="Times New Roman" w:eastAsia="Times New Roman" w:hAnsi="Times New Roman" w:cs="Times New Roman"/>
          <w:i/>
          <w:iCs/>
          <w:color w:val="1C1D1E"/>
          <w:kern w:val="0"/>
          <w:shd w:val="clear" w:color="auto" w:fill="FFFFFF"/>
          <w:vertAlign w:val="superscript"/>
          <w:lang w:eastAsia="en-GB"/>
          <w14:ligatures w14:val="none"/>
        </w:rPr>
        <w:t>2</w:t>
      </w:r>
      <w:r w:rsidRPr="006210CA">
        <w:rPr>
          <w:rFonts w:ascii="Times New Roman" w:eastAsia="Times New Roman" w:hAnsi="Times New Roman" w:cs="Times New Roman"/>
          <w:color w:val="1C1D1E"/>
          <w:kern w:val="0"/>
          <w:sz w:val="14"/>
          <w:szCs w:val="14"/>
          <w:shd w:val="clear" w:color="auto" w:fill="FFFFFF"/>
          <w:vertAlign w:val="superscript"/>
          <w:lang w:eastAsia="en-GB"/>
          <w14:ligatures w14:val="none"/>
        </w:rPr>
        <w:t xml:space="preserve"> </w:t>
      </w:r>
      <w:r w:rsidRPr="006210CA">
        <w:rPr>
          <w:rFonts w:ascii="Times New Roman" w:eastAsia="Times New Roman" w:hAnsi="Times New Roman" w:cs="Times New Roman"/>
          <w:color w:val="000000"/>
          <w:kern w:val="0"/>
          <w:lang w:eastAsia="en-GB"/>
          <w14:ligatures w14:val="none"/>
        </w:rPr>
        <w:t>Z-scores (calculated as SNP-</w:t>
      </w:r>
      <w:r w:rsidRPr="006210CA">
        <w:rPr>
          <w:rFonts w:ascii="Times New Roman" w:eastAsia="Times New Roman" w:hAnsi="Times New Roman" w:cs="Times New Roman"/>
          <w:color w:val="1C1D1E"/>
          <w:kern w:val="0"/>
          <w:shd w:val="clear" w:color="auto" w:fill="FFFFFF"/>
          <w:lang w:eastAsia="en-GB"/>
          <w14:ligatures w14:val="none"/>
        </w:rPr>
        <w:t>h</w:t>
      </w:r>
      <w:r w:rsidRPr="006210CA">
        <w:rPr>
          <w:rFonts w:ascii="Times New Roman" w:eastAsia="Times New Roman" w:hAnsi="Times New Roman" w:cs="Times New Roman"/>
          <w:color w:val="1C1D1E"/>
          <w:kern w:val="0"/>
          <w:shd w:val="clear" w:color="auto" w:fill="FFFFFF"/>
          <w:vertAlign w:val="superscript"/>
          <w:lang w:eastAsia="en-GB"/>
          <w14:ligatures w14:val="none"/>
        </w:rPr>
        <w:t>2</w:t>
      </w:r>
      <w:r w:rsidRPr="006210CA">
        <w:rPr>
          <w:rFonts w:ascii="Times New Roman" w:eastAsia="Times New Roman" w:hAnsi="Times New Roman" w:cs="Times New Roman"/>
          <w:color w:val="1C1D1E"/>
          <w:kern w:val="0"/>
          <w:sz w:val="14"/>
          <w:szCs w:val="14"/>
          <w:shd w:val="clear" w:color="auto" w:fill="FFFFFF"/>
          <w:vertAlign w:val="superscript"/>
          <w:lang w:eastAsia="en-GB"/>
          <w14:ligatures w14:val="none"/>
        </w:rPr>
        <w:t xml:space="preserve"> </w:t>
      </w:r>
      <w:r w:rsidRPr="006210CA">
        <w:rPr>
          <w:rFonts w:ascii="Times New Roman" w:eastAsia="Times New Roman" w:hAnsi="Times New Roman" w:cs="Times New Roman"/>
          <w:color w:val="000000"/>
          <w:kern w:val="0"/>
          <w:lang w:eastAsia="en-GB"/>
          <w14:ligatures w14:val="none"/>
        </w:rPr>
        <w:t> scores  divided by its standard error) higher than 2. </w:t>
      </w:r>
    </w:p>
    <w:p w14:paraId="287808C9" w14:textId="77777777" w:rsidR="006A57BE" w:rsidRPr="00FA78DB" w:rsidRDefault="006A57BE" w:rsidP="006A57BE">
      <w:pPr>
        <w:spacing w:line="480" w:lineRule="auto"/>
        <w:rPr>
          <w:rFonts w:ascii="Times New Roman" w:hAnsi="Times New Roman" w:cs="Times New Roman"/>
          <w:b/>
          <w:iCs/>
          <w:color w:val="000000" w:themeColor="text1"/>
          <w:sz w:val="22"/>
          <w:szCs w:val="22"/>
        </w:rPr>
      </w:pPr>
      <w:r w:rsidRPr="00FA78DB">
        <w:rPr>
          <w:rFonts w:ascii="Times New Roman" w:hAnsi="Times New Roman" w:cs="Times New Roman"/>
          <w:b/>
          <w:iCs/>
          <w:color w:val="000000" w:themeColor="text1"/>
          <w:sz w:val="22"/>
          <w:szCs w:val="22"/>
        </w:rPr>
        <w:t>Supplementary Methods S2: Description of polygenic score creation</w:t>
      </w:r>
    </w:p>
    <w:p w14:paraId="51EAA61B" w14:textId="77777777" w:rsidR="00BB7C15" w:rsidRDefault="00BB7C15" w:rsidP="006A57BE">
      <w:pPr>
        <w:spacing w:line="480" w:lineRule="auto"/>
        <w:rPr>
          <w:rFonts w:ascii="Times New Roman" w:eastAsia="Times New Roman" w:hAnsi="Times New Roman" w:cs="Times New Roman"/>
          <w:color w:val="000000"/>
          <w:kern w:val="0"/>
          <w:lang w:eastAsia="en-GB"/>
          <w14:ligatures w14:val="none"/>
        </w:rPr>
      </w:pPr>
      <w:r w:rsidRPr="006210CA">
        <w:rPr>
          <w:rFonts w:ascii="Times New Roman" w:eastAsia="Times New Roman" w:hAnsi="Times New Roman" w:cs="Times New Roman"/>
          <w:color w:val="000000"/>
          <w:kern w:val="0"/>
          <w:lang w:eastAsia="en-GB"/>
          <w14:ligatures w14:val="none"/>
        </w:rPr>
        <w:t>Polygenic scores are single values that represent an individual’s genetic predisposition for a specific trait. These scores are computed by summing the weighted effects of trait-associated single nucleotide polymorphisms (SNPs), where the weights are derived from large and independent GWAS discovery samples. SNP effects are assumed to contribute additively to genetic liability. Polygenic scores can be computed based on a subset of SNPs (typically selected as those SNPs reaching specific p-value thresholds in GWAS) or across the entire genome. </w:t>
      </w:r>
    </w:p>
    <w:p w14:paraId="31F3446F" w14:textId="77777777" w:rsidR="00BB7C15" w:rsidRPr="00F37298" w:rsidRDefault="00BB7C15" w:rsidP="00BB7C15">
      <w:pPr>
        <w:spacing w:line="48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Ldpred1 (</w:t>
      </w:r>
      <w:r w:rsidRPr="00F37298">
        <w:rPr>
          <w:rFonts w:ascii="Times New Roman" w:hAnsi="Times New Roman" w:cs="Times New Roman"/>
          <w:color w:val="000000"/>
          <w:lang w:val="en-US"/>
        </w:rPr>
        <w:t>Privé et al., 2020)</w:t>
      </w:r>
      <w:r w:rsidRPr="006210CA">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was used to compute the polygenic scores. Ldpred1 is Basysian approach that uses a prior on the expected polygenicity of a trait (</w:t>
      </w:r>
      <w:r w:rsidRPr="00F37298">
        <w:rPr>
          <w:rFonts w:ascii="Times New Roman" w:hAnsi="Times New Roman" w:cs="Times New Roman"/>
          <w:lang w:val="en-US"/>
        </w:rPr>
        <w:t>assumed fraction of non-zero effect markers) and adjusts for linkage disequilibrium based on a reference panel to compute SNPs weights.</w:t>
      </w:r>
      <w:r w:rsidRPr="00F37298">
        <w:rPr>
          <w:rFonts w:ascii="Times New Roman" w:hAnsi="Times New Roman" w:cs="Times New Roman"/>
          <w:color w:val="000000"/>
          <w:lang w:val="en-US"/>
        </w:rPr>
        <w:t xml:space="preserve"> We used the infinitesimal prior and the UK Biobank sample as a reference panel for the LD structure. </w:t>
      </w:r>
    </w:p>
    <w:p w14:paraId="5C951C02" w14:textId="77777777" w:rsidR="00BB7C15" w:rsidRPr="00F37298" w:rsidRDefault="00BB7C15" w:rsidP="00BB7C15">
      <w:pPr>
        <w:spacing w:line="480" w:lineRule="auto"/>
        <w:ind w:firstLine="720"/>
        <w:rPr>
          <w:rFonts w:ascii="Times New Roman" w:hAnsi="Times New Roman" w:cs="Times New Roman"/>
          <w:color w:val="000000"/>
          <w:lang w:val="en-US"/>
        </w:rPr>
      </w:pPr>
      <w:r w:rsidRPr="00F37298">
        <w:rPr>
          <w:rFonts w:ascii="Times New Roman" w:hAnsi="Times New Roman" w:cs="Times New Roman"/>
          <w:color w:val="000000"/>
          <w:lang w:val="en-US"/>
        </w:rPr>
        <w:t>To control for population stratification, we adjust</w:t>
      </w:r>
      <w:r>
        <w:rPr>
          <w:rFonts w:ascii="Times New Roman" w:hAnsi="Times New Roman" w:cs="Times New Roman"/>
          <w:color w:val="000000"/>
          <w:lang w:val="en-US"/>
        </w:rPr>
        <w:t>ed</w:t>
      </w:r>
      <w:r w:rsidRPr="00F37298">
        <w:rPr>
          <w:rFonts w:ascii="Times New Roman" w:hAnsi="Times New Roman" w:cs="Times New Roman"/>
          <w:color w:val="000000"/>
          <w:lang w:val="en-US"/>
        </w:rPr>
        <w:t xml:space="preserve"> for polygenic scores by residualizing them for the first 10 principal components (estimated from the genome-wide SNP data and number of batches), sex, and age. For interpretability, all polygenic scores will be standardized to have a mean of 0 and a standard deviation of 1. </w:t>
      </w:r>
    </w:p>
    <w:p w14:paraId="5F604FB7" w14:textId="77777777" w:rsidR="00BB7C15" w:rsidRDefault="00BB7C15" w:rsidP="00BB7C15">
      <w:pPr>
        <w:spacing w:line="480" w:lineRule="auto"/>
        <w:ind w:firstLine="720"/>
        <w:rPr>
          <w:color w:val="000000"/>
          <w:lang w:val="en-US"/>
        </w:rPr>
      </w:pPr>
    </w:p>
    <w:p w14:paraId="7DE25E3D" w14:textId="77777777" w:rsidR="006A57BE" w:rsidRPr="00FA78DB" w:rsidRDefault="006A57BE" w:rsidP="006A57BE">
      <w:pPr>
        <w:spacing w:line="480" w:lineRule="auto"/>
        <w:rPr>
          <w:rFonts w:ascii="Times New Roman" w:hAnsi="Times New Roman" w:cs="Times New Roman"/>
          <w:b/>
          <w:bCs/>
          <w:color w:val="000000" w:themeColor="text1"/>
        </w:rPr>
      </w:pPr>
      <w:r w:rsidRPr="00FA78DB">
        <w:rPr>
          <w:rFonts w:ascii="Times New Roman" w:hAnsi="Times New Roman" w:cs="Times New Roman"/>
          <w:b/>
          <w:bCs/>
          <w:color w:val="000000" w:themeColor="text1"/>
        </w:rPr>
        <w:lastRenderedPageBreak/>
        <w:t xml:space="preserve">Supplementary Methods S3: </w:t>
      </w:r>
      <w:r w:rsidRPr="00FA78DB">
        <w:rPr>
          <w:rFonts w:ascii="Times New Roman" w:eastAsia="Times New Roman" w:hAnsi="Times New Roman" w:cs="Times New Roman"/>
          <w:b/>
          <w:bCs/>
          <w:color w:val="000000"/>
          <w:kern w:val="0"/>
          <w:lang w:eastAsia="en-GB"/>
          <w14:ligatures w14:val="none"/>
        </w:rPr>
        <w:t>Description of Multiple Imputation of the Phenotypic Data</w:t>
      </w:r>
    </w:p>
    <w:p w14:paraId="6625B5E0" w14:textId="77777777" w:rsidR="00BB7C15" w:rsidRPr="004A31A1" w:rsidRDefault="00BB7C15" w:rsidP="00BB7C15">
      <w:pPr>
        <w:spacing w:line="48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kern w:val="0"/>
          <w:lang w:eastAsia="en-GB"/>
          <w14:ligatures w14:val="none"/>
        </w:rPr>
        <w:t xml:space="preserve">For the imputation of missing data, R package </w:t>
      </w:r>
      <w:r w:rsidRPr="000A060E">
        <w:rPr>
          <w:rFonts w:ascii="Times New Roman" w:eastAsia="Times New Roman" w:hAnsi="Times New Roman" w:cs="Times New Roman"/>
          <w:i/>
          <w:iCs/>
          <w:color w:val="000000"/>
          <w:kern w:val="0"/>
          <w:lang w:eastAsia="en-GB"/>
          <w14:ligatures w14:val="none"/>
        </w:rPr>
        <w:t xml:space="preserve">mice </w:t>
      </w:r>
      <w:r>
        <w:rPr>
          <w:rFonts w:ascii="Times New Roman" w:hAnsi="Times New Roman" w:cs="Times New Roman"/>
          <w:color w:val="000000" w:themeColor="text1"/>
        </w:rPr>
        <w:t>was used</w:t>
      </w:r>
      <w:r>
        <w:rPr>
          <w:rFonts w:ascii="Times New Roman" w:eastAsia="Times New Roman" w:hAnsi="Times New Roman" w:cs="Times New Roman"/>
          <w:color w:val="000000"/>
          <w:kern w:val="0"/>
          <w:lang w:eastAsia="en-GB"/>
          <w14:ligatures w14:val="none"/>
        </w:rPr>
        <w:t xml:space="preserve"> (</w:t>
      </w:r>
      <w:r w:rsidRPr="00E65EC4">
        <w:rPr>
          <w:rFonts w:ascii="Times New Roman" w:eastAsia="Times New Roman" w:hAnsi="Times New Roman" w:cs="Times New Roman"/>
          <w:color w:val="000000" w:themeColor="text1"/>
          <w:kern w:val="0"/>
          <w:lang w:eastAsia="en-GB"/>
          <w14:ligatures w14:val="none"/>
        </w:rPr>
        <w:t>van Buuren</w:t>
      </w:r>
      <w:r>
        <w:rPr>
          <w:rFonts w:ascii="Times New Roman" w:eastAsia="Times New Roman" w:hAnsi="Times New Roman" w:cs="Times New Roman"/>
          <w:color w:val="000000" w:themeColor="text1"/>
          <w:kern w:val="0"/>
          <w:lang w:eastAsia="en-GB"/>
          <w14:ligatures w14:val="none"/>
        </w:rPr>
        <w:t xml:space="preserve"> &amp; </w:t>
      </w:r>
      <w:r w:rsidRPr="00E65EC4">
        <w:rPr>
          <w:rFonts w:ascii="Times New Roman" w:hAnsi="Times New Roman" w:cs="Times New Roman"/>
          <w:color w:val="000000" w:themeColor="text1"/>
        </w:rPr>
        <w:t xml:space="preserve">Groothuis-Oudshoorn, 2011). </w:t>
      </w:r>
      <w:r w:rsidRPr="004A31A1">
        <w:rPr>
          <w:rFonts w:ascii="Times New Roman" w:eastAsia="Times New Roman" w:hAnsi="Times New Roman" w:cs="Times New Roman"/>
          <w:color w:val="000000"/>
          <w:lang w:eastAsia="en-GB"/>
        </w:rPr>
        <w:t xml:space="preserve">To address potential violations of the missing-at-random assumption, we incorporated auxiliary variables previously identified as being associated with internalizing problems. These variables were selected from earlier assessments, which were less affected by attrition, encompassing the Emotional reactivity subscale of the Child Behavior Checklist (CBCL; Achenbach, 1992) </w:t>
      </w:r>
      <w:r>
        <w:rPr>
          <w:rFonts w:ascii="Times New Roman" w:eastAsia="Times New Roman" w:hAnsi="Times New Roman" w:cs="Times New Roman"/>
          <w:color w:val="000000"/>
          <w:lang w:eastAsia="en-GB"/>
        </w:rPr>
        <w:t xml:space="preserve">and </w:t>
      </w:r>
      <w:r w:rsidRPr="004A31A1">
        <w:rPr>
          <w:rFonts w:ascii="Times New Roman" w:eastAsia="Times New Roman" w:hAnsi="Times New Roman" w:cs="Times New Roman"/>
          <w:color w:val="000000"/>
          <w:lang w:eastAsia="en-GB"/>
        </w:rPr>
        <w:t>child’s emotionality subscale from the Emotionality, Activity and Shyness Temperament Questionnaire (EAS; Mathiesen &amp; Tambs, 1999) from maternal report when the child was 1.5, 3, and 5 years old, child’s social and prosocial behavior and interest in others at age 3 and 5 from the Strength and Difficulties Questionnaire (SDQ; Goodman, 1997)</w:t>
      </w:r>
      <w:r>
        <w:rPr>
          <w:rFonts w:ascii="Times New Roman" w:eastAsia="Times New Roman" w:hAnsi="Times New Roman" w:cs="Times New Roman"/>
          <w:color w:val="000000"/>
          <w:lang w:eastAsia="en-GB"/>
        </w:rPr>
        <w:t xml:space="preserve">, </w:t>
      </w:r>
      <w:r w:rsidRPr="004A31A1">
        <w:rPr>
          <w:rFonts w:ascii="Times New Roman" w:eastAsia="Times New Roman" w:hAnsi="Times New Roman" w:cs="Times New Roman"/>
          <w:color w:val="000000"/>
          <w:lang w:eastAsia="en-GB"/>
        </w:rPr>
        <w:t>the social play subscale of the Preschool Play Behavior Scale (PPBS; Coplan &amp; Rubin, 1998)</w:t>
      </w:r>
      <w:r>
        <w:rPr>
          <w:rFonts w:ascii="Times New Roman" w:eastAsia="Times New Roman" w:hAnsi="Times New Roman" w:cs="Times New Roman"/>
          <w:color w:val="000000"/>
          <w:lang w:eastAsia="en-GB"/>
        </w:rPr>
        <w:t xml:space="preserve"> at age 5 and the mothers responses to SMFQ and SCARED at age 14. All the 17 polygenic scores included in the main analysis of the trio were also included in the mulyiple imputation processes. We included the trio polygenic scores in the imputtaion process in line with current recommendations to impute based on all varaibles used in the main analysis (Kontopantelis et al., 2017; van Buuren, 2018; van Ginkel et al., 2020). </w:t>
      </w:r>
      <w:r w:rsidRPr="000A060E">
        <w:rPr>
          <w:rFonts w:ascii="Times New Roman" w:eastAsia="Times New Roman" w:hAnsi="Times New Roman" w:cs="Times New Roman"/>
          <w:kern w:val="0"/>
          <w:shd w:val="clear" w:color="auto" w:fill="FFFFFF"/>
          <w:lang w:eastAsia="en-GB"/>
          <w14:ligatures w14:val="none"/>
        </w:rPr>
        <w:t>Density and Box-and-whisker plots comparing distributions of complete and imputed data</w:t>
      </w:r>
      <w:r>
        <w:rPr>
          <w:rFonts w:ascii="Times New Roman" w:eastAsia="Times New Roman" w:hAnsi="Times New Roman" w:cs="Times New Roman"/>
          <w:kern w:val="0"/>
          <w:shd w:val="clear" w:color="auto" w:fill="FFFFFF"/>
          <w:lang w:eastAsia="en-GB"/>
          <w14:ligatures w14:val="none"/>
        </w:rPr>
        <w:t xml:space="preserve"> for each outcome measure can be seen in Supplementary Figure 2a-d. </w:t>
      </w:r>
    </w:p>
    <w:p w14:paraId="56F5C943" w14:textId="77777777" w:rsidR="00BB7C15" w:rsidRDefault="00BB7C15" w:rsidP="006210CA">
      <w:pPr>
        <w:spacing w:line="480" w:lineRule="auto"/>
        <w:rPr>
          <w:rFonts w:ascii="Times New Roman" w:eastAsia="Times New Roman" w:hAnsi="Times New Roman" w:cs="Times New Roman"/>
          <w:b/>
          <w:bCs/>
          <w:color w:val="000000"/>
          <w:kern w:val="0"/>
          <w:lang w:eastAsia="en-GB"/>
          <w14:ligatures w14:val="none"/>
        </w:rPr>
      </w:pPr>
    </w:p>
    <w:p w14:paraId="03D1843C" w14:textId="77777777" w:rsidR="006A57BE" w:rsidRDefault="006A57BE" w:rsidP="006210CA">
      <w:pPr>
        <w:spacing w:line="480" w:lineRule="auto"/>
        <w:rPr>
          <w:rFonts w:ascii="Times New Roman" w:eastAsia="Times New Roman" w:hAnsi="Times New Roman" w:cs="Times New Roman"/>
          <w:b/>
          <w:bCs/>
          <w:color w:val="000000"/>
          <w:kern w:val="0"/>
          <w:lang w:eastAsia="en-GB"/>
          <w14:ligatures w14:val="none"/>
        </w:rPr>
        <w:sectPr w:rsidR="006A57BE">
          <w:pgSz w:w="11906" w:h="16838"/>
          <w:pgMar w:top="1440" w:right="1440" w:bottom="1440" w:left="1440" w:header="708" w:footer="708" w:gutter="0"/>
          <w:cols w:space="708"/>
          <w:docGrid w:linePitch="360"/>
        </w:sectPr>
      </w:pPr>
    </w:p>
    <w:p w14:paraId="320E1B3E" w14:textId="243AEE37" w:rsidR="00B22E57" w:rsidRPr="006210CA" w:rsidRDefault="006A57BE" w:rsidP="006210CA">
      <w:pPr>
        <w:spacing w:line="480" w:lineRule="auto"/>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lastRenderedPageBreak/>
        <w:t xml:space="preserve">Supplementary </w:t>
      </w:r>
      <w:r w:rsidR="006210CA" w:rsidRPr="006210CA">
        <w:rPr>
          <w:rFonts w:ascii="Times New Roman" w:eastAsia="Times New Roman" w:hAnsi="Times New Roman" w:cs="Times New Roman"/>
          <w:b/>
          <w:bCs/>
          <w:color w:val="000000"/>
          <w:kern w:val="0"/>
          <w:lang w:eastAsia="en-GB"/>
          <w14:ligatures w14:val="none"/>
        </w:rPr>
        <w:t xml:space="preserve">References </w:t>
      </w:r>
    </w:p>
    <w:p w14:paraId="4850D524"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Achenbach, T. M., McConaughy, S. H., Ivanova, M. Y., &amp; Rescorla, L. A. (2017). Manual for the ASEBA Brief problem monitor for ages 6–18 (BPM/6–18). </w:t>
      </w:r>
      <w:r w:rsidRPr="00AC65F3">
        <w:rPr>
          <w:i/>
          <w:iCs/>
          <w:color w:val="000000" w:themeColor="text1"/>
          <w:shd w:val="clear" w:color="auto" w:fill="FFFFFF"/>
        </w:rPr>
        <w:t>Burlington: University of Vermont Research Center for Children, Youth, and Families</w:t>
      </w:r>
      <w:r w:rsidRPr="00AC65F3">
        <w:rPr>
          <w:color w:val="000000" w:themeColor="text1"/>
          <w:shd w:val="clear" w:color="auto" w:fill="FFFFFF"/>
        </w:rPr>
        <w:t>.</w:t>
      </w:r>
    </w:p>
    <w:p w14:paraId="600D956D"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Baselmans, B. M., Jansen, R., Ip, H. F., van Dongen, J., Abdellaoui, A., van de Weijer, M. P., ... &amp; Bartels, M. (2019). Multivariate genome-wide analyses of the well-being spectrum. </w:t>
      </w:r>
      <w:r w:rsidRPr="00AC65F3">
        <w:rPr>
          <w:i/>
          <w:iCs/>
          <w:color w:val="000000" w:themeColor="text1"/>
          <w:shd w:val="clear" w:color="auto" w:fill="FFFFFF"/>
        </w:rPr>
        <w:t>Nature Genetics, 51</w:t>
      </w:r>
      <w:r w:rsidRPr="00AC65F3">
        <w:rPr>
          <w:color w:val="000000" w:themeColor="text1"/>
          <w:shd w:val="clear" w:color="auto" w:fill="FFFFFF"/>
        </w:rPr>
        <w:t>(3), 445-451. </w:t>
      </w:r>
    </w:p>
    <w:p w14:paraId="042A5E27" w14:textId="77777777" w:rsidR="00AC65F3" w:rsidRPr="00AC65F3" w:rsidRDefault="00AC65F3" w:rsidP="00547A5E">
      <w:pPr>
        <w:pStyle w:val="NormalWeb"/>
        <w:ind w:left="720" w:hanging="720"/>
        <w:rPr>
          <w:color w:val="000000" w:themeColor="text1"/>
          <w:shd w:val="clear" w:color="auto" w:fill="FFFFFF"/>
        </w:rPr>
      </w:pPr>
      <w:r w:rsidRPr="00AC65F3">
        <w:rPr>
          <w:color w:val="000000" w:themeColor="text1"/>
          <w:shd w:val="clear" w:color="auto" w:fill="FFFFFF"/>
        </w:rPr>
        <w:t>Buss, A. H., &amp; Plomin, R. (2014). </w:t>
      </w:r>
      <w:r w:rsidRPr="00AC65F3">
        <w:rPr>
          <w:i/>
          <w:iCs/>
          <w:color w:val="000000" w:themeColor="text1"/>
          <w:shd w:val="clear" w:color="auto" w:fill="FFFFFF"/>
        </w:rPr>
        <w:t>Temperament (PLE: Emotion): Early developing personality traits</w:t>
      </w:r>
      <w:r w:rsidRPr="00AC65F3">
        <w:rPr>
          <w:color w:val="000000" w:themeColor="text1"/>
          <w:shd w:val="clear" w:color="auto" w:fill="FFFFFF"/>
        </w:rPr>
        <w:t>. Psychology press.</w:t>
      </w:r>
    </w:p>
    <w:p w14:paraId="686AB2B1"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Chang, C. C., Chow, C. C., Tellier, L. C., Vattikuti, S., Purcell, S. M., &amp; Lee, J. J. (2015). Second-generation PLINK: rising to the challenge of larger and richer datasets. </w:t>
      </w:r>
      <w:r w:rsidRPr="00AC65F3">
        <w:rPr>
          <w:i/>
          <w:iCs/>
          <w:color w:val="000000" w:themeColor="text1"/>
          <w:shd w:val="clear" w:color="auto" w:fill="FFFFFF"/>
        </w:rPr>
        <w:t>GigaScience, 4</w:t>
      </w:r>
      <w:r w:rsidRPr="00AC65F3">
        <w:rPr>
          <w:color w:val="000000" w:themeColor="text1"/>
          <w:shd w:val="clear" w:color="auto" w:fill="FFFFFF"/>
        </w:rPr>
        <w:t>(1), s13742-015. </w:t>
      </w:r>
    </w:p>
    <w:p w14:paraId="605616CD"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Choi, S. W., &amp; O'Reilly, P. F. (2019). PRSice-2: Polygenic Risk Score software for biobank-scale data. </w:t>
      </w:r>
      <w:r w:rsidRPr="00AC65F3">
        <w:rPr>
          <w:i/>
          <w:iCs/>
          <w:color w:val="000000" w:themeColor="text1"/>
          <w:shd w:val="clear" w:color="auto" w:fill="FFFFFF"/>
        </w:rPr>
        <w:t>GigaScience, 8</w:t>
      </w:r>
      <w:r w:rsidRPr="00AC65F3">
        <w:rPr>
          <w:color w:val="000000" w:themeColor="text1"/>
          <w:shd w:val="clear" w:color="auto" w:fill="FFFFFF"/>
        </w:rPr>
        <w:t xml:space="preserve">(7), giz082.  </w:t>
      </w:r>
    </w:p>
    <w:p w14:paraId="61B5A2E4"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Coombes, B. J., Ploner, A., Bergen, S. E., &amp; Biernacka, J. M. (2020). A principal component approach to improve association testing with polygenic risk scores. </w:t>
      </w:r>
      <w:r w:rsidRPr="00AC65F3">
        <w:rPr>
          <w:i/>
          <w:iCs/>
          <w:color w:val="000000" w:themeColor="text1"/>
          <w:shd w:val="clear" w:color="auto" w:fill="FFFFFF"/>
        </w:rPr>
        <w:t>Genetic Epidemiology, 44</w:t>
      </w:r>
      <w:r w:rsidRPr="00AC65F3">
        <w:rPr>
          <w:color w:val="000000" w:themeColor="text1"/>
          <w:shd w:val="clear" w:color="auto" w:fill="FFFFFF"/>
        </w:rPr>
        <w:t>(7), 676-686. </w:t>
      </w:r>
    </w:p>
    <w:p w14:paraId="1036FEAA" w14:textId="77777777" w:rsidR="00AC65F3" w:rsidRPr="00AC65F3" w:rsidRDefault="00AC65F3" w:rsidP="00547A5E">
      <w:pPr>
        <w:pStyle w:val="NormalWeb"/>
        <w:ind w:left="720" w:hanging="720"/>
        <w:rPr>
          <w:color w:val="000000" w:themeColor="text1"/>
          <w:shd w:val="clear" w:color="auto" w:fill="FFFFFF"/>
        </w:rPr>
      </w:pPr>
      <w:r w:rsidRPr="00AC65F3">
        <w:rPr>
          <w:color w:val="000000" w:themeColor="text1"/>
          <w:shd w:val="clear" w:color="auto" w:fill="FFFFFF"/>
        </w:rPr>
        <w:t xml:space="preserve">Coplan, R. J. &amp; Rubin, K. H. (1998). Exploring and assessing non-social play in the preschool: The development and validation of the preschool play behaviour scale. </w:t>
      </w:r>
      <w:r w:rsidRPr="00AC65F3">
        <w:rPr>
          <w:i/>
          <w:iCs/>
          <w:color w:val="000000" w:themeColor="text1"/>
          <w:shd w:val="clear" w:color="auto" w:fill="FFFFFF"/>
        </w:rPr>
        <w:t xml:space="preserve">Social Development </w:t>
      </w:r>
      <w:r w:rsidRPr="00AC65F3">
        <w:rPr>
          <w:color w:val="000000" w:themeColor="text1"/>
          <w:shd w:val="clear" w:color="auto" w:fill="FFFFFF"/>
        </w:rPr>
        <w:t xml:space="preserve">7 (1): 72-91. </w:t>
      </w:r>
    </w:p>
    <w:p w14:paraId="28D48093" w14:textId="77777777" w:rsidR="00AC65F3" w:rsidRPr="00AC65F3" w:rsidRDefault="00AC65F3" w:rsidP="00AC65F3">
      <w:pPr>
        <w:pStyle w:val="NormalWeb"/>
        <w:ind w:left="720" w:hanging="720"/>
        <w:rPr>
          <w:color w:val="000000" w:themeColor="text1"/>
          <w:shd w:val="clear" w:color="auto" w:fill="FFFFFF"/>
        </w:rPr>
      </w:pPr>
      <w:r w:rsidRPr="00AC65F3">
        <w:rPr>
          <w:color w:val="222222"/>
          <w:shd w:val="clear" w:color="auto" w:fill="FFFFFF"/>
        </w:rPr>
        <w:t>Day, F. R., Ong, K. K., &amp; Perry, J. R. (2018). Elucidating the genetic basis of social interaction and isolation.</w:t>
      </w:r>
      <w:r w:rsidRPr="00AC65F3">
        <w:rPr>
          <w:rStyle w:val="apple-converted-space"/>
          <w:rFonts w:eastAsiaTheme="majorEastAsia"/>
          <w:color w:val="222222"/>
          <w:shd w:val="clear" w:color="auto" w:fill="FFFFFF"/>
        </w:rPr>
        <w:t> </w:t>
      </w:r>
      <w:r w:rsidRPr="00AC65F3">
        <w:rPr>
          <w:i/>
          <w:iCs/>
          <w:color w:val="222222"/>
        </w:rPr>
        <w:t>Nature communications</w:t>
      </w:r>
      <w:r w:rsidRPr="00AC65F3">
        <w:rPr>
          <w:color w:val="222222"/>
          <w:shd w:val="clear" w:color="auto" w:fill="FFFFFF"/>
        </w:rPr>
        <w:t>,</w:t>
      </w:r>
      <w:r w:rsidRPr="00AC65F3">
        <w:rPr>
          <w:rStyle w:val="apple-converted-space"/>
          <w:rFonts w:eastAsiaTheme="majorEastAsia"/>
          <w:color w:val="222222"/>
          <w:shd w:val="clear" w:color="auto" w:fill="FFFFFF"/>
        </w:rPr>
        <w:t> </w:t>
      </w:r>
      <w:r w:rsidRPr="00AC65F3">
        <w:rPr>
          <w:i/>
          <w:iCs/>
          <w:color w:val="222222"/>
        </w:rPr>
        <w:t>9</w:t>
      </w:r>
      <w:r w:rsidRPr="00AC65F3">
        <w:rPr>
          <w:color w:val="222222"/>
          <w:shd w:val="clear" w:color="auto" w:fill="FFFFFF"/>
        </w:rPr>
        <w:t>(1), 2457.</w:t>
      </w:r>
    </w:p>
    <w:p w14:paraId="7B553F72"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Demontis, D., Walters, R. K., Martin, J., Mattheisen, M., Als, T. D., Agerbo, E., et al. (2019). Discovery of the first genome-wide significant risk loci for attention deficit/hyperactivity disorder. </w:t>
      </w:r>
      <w:r w:rsidRPr="00AC65F3">
        <w:rPr>
          <w:i/>
          <w:iCs/>
          <w:color w:val="000000" w:themeColor="text1"/>
          <w:shd w:val="clear" w:color="auto" w:fill="FFFFFF"/>
        </w:rPr>
        <w:t>Nature Genetics, 51</w:t>
      </w:r>
      <w:r w:rsidRPr="00AC65F3">
        <w:rPr>
          <w:color w:val="000000" w:themeColor="text1"/>
          <w:shd w:val="clear" w:color="auto" w:fill="FFFFFF"/>
        </w:rPr>
        <w:t xml:space="preserve">(1), 63–75.  </w:t>
      </w:r>
    </w:p>
    <w:p w14:paraId="106FF386"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Goodman, R., Meltzer, H., &amp; Bailey, V. (1998). The Strengths and Difficulties Questionnaire: A pilot study on the validity of the self-report version. </w:t>
      </w:r>
      <w:r w:rsidRPr="00AC65F3">
        <w:rPr>
          <w:i/>
          <w:iCs/>
          <w:color w:val="000000" w:themeColor="text1"/>
          <w:shd w:val="clear" w:color="auto" w:fill="FFFFFF"/>
        </w:rPr>
        <w:t>European child &amp; adolescent psychiatry</w:t>
      </w:r>
      <w:r w:rsidRPr="00AC65F3">
        <w:rPr>
          <w:color w:val="000000" w:themeColor="text1"/>
          <w:shd w:val="clear" w:color="auto" w:fill="FFFFFF"/>
        </w:rPr>
        <w:t>, </w:t>
      </w:r>
      <w:r w:rsidRPr="00AC65F3">
        <w:rPr>
          <w:i/>
          <w:iCs/>
          <w:color w:val="000000" w:themeColor="text1"/>
          <w:shd w:val="clear" w:color="auto" w:fill="FFFFFF"/>
        </w:rPr>
        <w:t>7</w:t>
      </w:r>
      <w:r w:rsidRPr="00AC65F3">
        <w:rPr>
          <w:color w:val="000000" w:themeColor="text1"/>
          <w:shd w:val="clear" w:color="auto" w:fill="FFFFFF"/>
        </w:rPr>
        <w:t>(3), 125-130.</w:t>
      </w:r>
    </w:p>
    <w:p w14:paraId="31DE1FF1"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Howard, D. M., Adams, M. J., Clarke, T.-K., Hafferty, J. D., Gibson, J., Shirali, M., et al. (2019). Genome-wide meta-analysis of depression identifies 102 independent variants and highlights the importance of the prefrontal brain regions. </w:t>
      </w:r>
      <w:r w:rsidRPr="00AC65F3">
        <w:rPr>
          <w:i/>
          <w:iCs/>
          <w:color w:val="000000" w:themeColor="text1"/>
          <w:shd w:val="clear" w:color="auto" w:fill="FFFFFF"/>
        </w:rPr>
        <w:t>Nature Neuroscience, 22</w:t>
      </w:r>
      <w:r w:rsidRPr="00AC65F3">
        <w:rPr>
          <w:color w:val="000000" w:themeColor="text1"/>
          <w:shd w:val="clear" w:color="auto" w:fill="FFFFFF"/>
        </w:rPr>
        <w:t xml:space="preserve">(3), 343–352. </w:t>
      </w:r>
    </w:p>
    <w:p w14:paraId="317C263C"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International Obsessive Compulsive Disorder Foundation Genetics Collaborative (IOCDF-GC) &amp; OCD Collaborative Genetics Association Studies (OCGAS). (2017). Revealing the complex genetic architecture of obsessive–compulsive disorder using meta-analysis. </w:t>
      </w:r>
      <w:r w:rsidRPr="00AC65F3">
        <w:rPr>
          <w:i/>
          <w:iCs/>
          <w:color w:val="000000" w:themeColor="text1"/>
          <w:shd w:val="clear" w:color="auto" w:fill="FFFFFF"/>
        </w:rPr>
        <w:t>Molecular Psychiatry, 23</w:t>
      </w:r>
      <w:r w:rsidRPr="00AC65F3">
        <w:rPr>
          <w:color w:val="000000" w:themeColor="text1"/>
          <w:shd w:val="clear" w:color="auto" w:fill="FFFFFF"/>
        </w:rPr>
        <w:t xml:space="preserve">(5), 1181-1188.  </w:t>
      </w:r>
    </w:p>
    <w:p w14:paraId="02D3A2CB"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lastRenderedPageBreak/>
        <w:t>Karlsson Linnér, R., Biroli, P., Kong, E., Meddens, S. F. W., Wedow, R., Fontana, M. A., ... &amp; Beauchamp, J. P. (2019). Genome-wide association analyses of risk tolerance and risky behaviors in over 1 million individuals identify hundreds of loci and shared genetic influences. </w:t>
      </w:r>
      <w:r w:rsidRPr="00AC65F3">
        <w:rPr>
          <w:i/>
          <w:iCs/>
          <w:color w:val="000000" w:themeColor="text1"/>
          <w:shd w:val="clear" w:color="auto" w:fill="FFFFFF"/>
        </w:rPr>
        <w:t>Nature Genetics, 51</w:t>
      </w:r>
      <w:r w:rsidRPr="00AC65F3">
        <w:rPr>
          <w:color w:val="000000" w:themeColor="text1"/>
          <w:shd w:val="clear" w:color="auto" w:fill="FFFFFF"/>
        </w:rPr>
        <w:t xml:space="preserve">(2), 245-257.  </w:t>
      </w:r>
    </w:p>
    <w:p w14:paraId="0C18F4CE"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Kontopantelis, E., White, I. R., Sperrin, M., &amp; Buchan, I. (2017). Outcome-sensitive multiple imputation: a simulation study. </w:t>
      </w:r>
      <w:r w:rsidRPr="00AC65F3">
        <w:rPr>
          <w:i/>
          <w:iCs/>
          <w:color w:val="000000" w:themeColor="text1"/>
          <w:shd w:val="clear" w:color="auto" w:fill="FFFFFF"/>
        </w:rPr>
        <w:t>BMC Medical Research Methodology, 17</w:t>
      </w:r>
      <w:r w:rsidRPr="00AC65F3">
        <w:rPr>
          <w:color w:val="000000" w:themeColor="text1"/>
          <w:shd w:val="clear" w:color="auto" w:fill="FFFFFF"/>
        </w:rPr>
        <w:t>(1), 2. </w:t>
      </w:r>
    </w:p>
    <w:p w14:paraId="34743903"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Lee, J. J., Wedow, R., Okbay, A., Kong, E., Maghzian, O., Zacher, M., ... &amp; Cesarini, D. (2018). Gene discovery and polygenic prediction from a genome-wide association study of educational attainment in 1.1 million individuals. </w:t>
      </w:r>
      <w:r w:rsidRPr="00AC65F3">
        <w:rPr>
          <w:i/>
          <w:iCs/>
          <w:color w:val="000000" w:themeColor="text1"/>
          <w:shd w:val="clear" w:color="auto" w:fill="FFFFFF"/>
        </w:rPr>
        <w:t>Nature Genetics, 50</w:t>
      </w:r>
      <w:r w:rsidRPr="00AC65F3">
        <w:rPr>
          <w:color w:val="000000" w:themeColor="text1"/>
          <w:shd w:val="clear" w:color="auto" w:fill="FFFFFF"/>
        </w:rPr>
        <w:t xml:space="preserve">(8), 1112-1121.  </w:t>
      </w:r>
    </w:p>
    <w:p w14:paraId="69BBFF12" w14:textId="77777777" w:rsidR="00AC65F3" w:rsidRPr="00AC65F3" w:rsidRDefault="00AC65F3" w:rsidP="00AC65F3">
      <w:pPr>
        <w:pStyle w:val="NormalWeb"/>
        <w:ind w:left="720" w:hanging="720"/>
        <w:rPr>
          <w:color w:val="222222"/>
          <w:shd w:val="clear" w:color="auto" w:fill="FFFFFF"/>
        </w:rPr>
      </w:pPr>
      <w:r w:rsidRPr="00AC65F3">
        <w:rPr>
          <w:color w:val="222222"/>
          <w:shd w:val="clear" w:color="auto" w:fill="FFFFFF"/>
        </w:rPr>
        <w:t>Liu, M., Jiang, Y., Wedow, R., Li, Y., Brazel, D. M., Chen, F., ... &amp; Vrieze, S. (2019). Association studies of up to 1.2 million individuals yield new insights into the genetic etiology of tobacco and alcohol use.</w:t>
      </w:r>
      <w:r w:rsidRPr="00AC65F3">
        <w:rPr>
          <w:rStyle w:val="apple-converted-space"/>
          <w:rFonts w:eastAsiaTheme="majorEastAsia"/>
          <w:color w:val="222222"/>
          <w:shd w:val="clear" w:color="auto" w:fill="FFFFFF"/>
        </w:rPr>
        <w:t> </w:t>
      </w:r>
      <w:r w:rsidRPr="00AC65F3">
        <w:rPr>
          <w:i/>
          <w:iCs/>
          <w:color w:val="222222"/>
        </w:rPr>
        <w:t>Nature genetics</w:t>
      </w:r>
      <w:r w:rsidRPr="00AC65F3">
        <w:rPr>
          <w:color w:val="222222"/>
          <w:shd w:val="clear" w:color="auto" w:fill="FFFFFF"/>
        </w:rPr>
        <w:t>,</w:t>
      </w:r>
      <w:r w:rsidRPr="00AC65F3">
        <w:rPr>
          <w:rStyle w:val="apple-converted-space"/>
          <w:rFonts w:eastAsiaTheme="majorEastAsia"/>
          <w:color w:val="222222"/>
          <w:shd w:val="clear" w:color="auto" w:fill="FFFFFF"/>
        </w:rPr>
        <w:t> </w:t>
      </w:r>
      <w:r w:rsidRPr="00AC65F3">
        <w:rPr>
          <w:i/>
          <w:iCs/>
          <w:color w:val="222222"/>
        </w:rPr>
        <w:t>51</w:t>
      </w:r>
      <w:r w:rsidRPr="00AC65F3">
        <w:rPr>
          <w:color w:val="222222"/>
          <w:shd w:val="clear" w:color="auto" w:fill="FFFFFF"/>
        </w:rPr>
        <w:t>(2), 237-244.</w:t>
      </w:r>
    </w:p>
    <w:p w14:paraId="6C354212"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Manichaikul, A., Mychaleckyj, J. C., Rich, S. S., Daly, K., Sale, M., &amp; Chen, W. M. (2010). Robust relationship inference in genome-wide association studies. </w:t>
      </w:r>
      <w:r w:rsidRPr="00AC65F3">
        <w:rPr>
          <w:i/>
          <w:iCs/>
          <w:color w:val="000000" w:themeColor="text1"/>
          <w:shd w:val="clear" w:color="auto" w:fill="FFFFFF"/>
        </w:rPr>
        <w:t>Bioinformatics, 26</w:t>
      </w:r>
      <w:r w:rsidRPr="00AC65F3">
        <w:rPr>
          <w:color w:val="000000" w:themeColor="text1"/>
          <w:shd w:val="clear" w:color="auto" w:fill="FFFFFF"/>
        </w:rPr>
        <w:t>(22), 2867-2873. </w:t>
      </w:r>
    </w:p>
    <w:p w14:paraId="52349DAE" w14:textId="77777777" w:rsidR="00AC65F3" w:rsidRPr="00AC65F3" w:rsidRDefault="00AC65F3" w:rsidP="00547A5E">
      <w:pPr>
        <w:pStyle w:val="NormalWeb"/>
        <w:ind w:left="720" w:hanging="720"/>
        <w:rPr>
          <w:color w:val="000000" w:themeColor="text1"/>
          <w:shd w:val="clear" w:color="auto" w:fill="FFFFFF"/>
        </w:rPr>
      </w:pPr>
      <w:r w:rsidRPr="00AC65F3">
        <w:rPr>
          <w:color w:val="000000" w:themeColor="text1"/>
          <w:shd w:val="clear" w:color="auto" w:fill="FFFFFF"/>
        </w:rPr>
        <w:t xml:space="preserve">Mathiesen, K. S. &amp; Tambs, K. (1999). The EAS Temperament Questionnaire—factor structure, age trends, reliability, and stability in a Norwegian sample. Journal of Child Psychology and Psychiatry 40: 431-439. </w:t>
      </w:r>
    </w:p>
    <w:p w14:paraId="479200B1"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Nagel, M., Jansen, P. R., Stringer, S., Watanabe, K., De Leeuw, C. A., Bryois, J., ... &amp; Posthuma, D. (2018). Meta-analysis of genome-wide association studies for neuroticism in 449,484 individuals identifies novel genetic loci and pathways. </w:t>
      </w:r>
      <w:r w:rsidRPr="00AC65F3">
        <w:rPr>
          <w:i/>
          <w:iCs/>
          <w:color w:val="000000" w:themeColor="text1"/>
          <w:shd w:val="clear" w:color="auto" w:fill="FFFFFF"/>
        </w:rPr>
        <w:t>Nature Genetics, 50</w:t>
      </w:r>
      <w:r w:rsidRPr="00AC65F3">
        <w:rPr>
          <w:color w:val="000000" w:themeColor="text1"/>
          <w:shd w:val="clear" w:color="auto" w:fill="FFFFFF"/>
        </w:rPr>
        <w:t>(7), 920-927. </w:t>
      </w:r>
    </w:p>
    <w:p w14:paraId="47315008"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Nievergelt, C. M., Maihofer, A. X., Klengel, T., Atkinson, E. G., Chen, C. Y., Choi, K. W., ... &amp; Stevens, J. S. (2019). International meta-analysis of PTSD genome-wide association studies identifies sex-and ancestry-specific genetic risk loci. </w:t>
      </w:r>
      <w:r w:rsidRPr="00AC65F3">
        <w:rPr>
          <w:i/>
          <w:iCs/>
          <w:color w:val="000000" w:themeColor="text1"/>
          <w:shd w:val="clear" w:color="auto" w:fill="FFFFFF"/>
        </w:rPr>
        <w:t>Nature Communications, 10</w:t>
      </w:r>
      <w:r w:rsidRPr="00AC65F3">
        <w:rPr>
          <w:color w:val="000000" w:themeColor="text1"/>
          <w:shd w:val="clear" w:color="auto" w:fill="FFFFFF"/>
        </w:rPr>
        <w:t xml:space="preserve">(1), 4558.  </w:t>
      </w:r>
    </w:p>
    <w:p w14:paraId="49D8128E"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Okbay, A., Baselmans, B. M., De Neve, J. E., Turley, P., Nivard, M. G., Fontana, M. A., ... &amp; Power, C. (2016). Genetic variants associated with subjective well-being, depressive symptoms, and neuroticism identified through genome-wide analyses. </w:t>
      </w:r>
      <w:r w:rsidRPr="00AC65F3">
        <w:rPr>
          <w:i/>
          <w:iCs/>
          <w:color w:val="000000" w:themeColor="text1"/>
          <w:shd w:val="clear" w:color="auto" w:fill="FFFFFF"/>
        </w:rPr>
        <w:t>Nature Genetics, 48</w:t>
      </w:r>
      <w:r w:rsidRPr="00AC65F3">
        <w:rPr>
          <w:color w:val="000000" w:themeColor="text1"/>
          <w:shd w:val="clear" w:color="auto" w:fill="FFFFFF"/>
        </w:rPr>
        <w:t xml:space="preserve">(6), 624-633.  </w:t>
      </w:r>
    </w:p>
    <w:p w14:paraId="014CAEA7" w14:textId="77777777" w:rsidR="00AC65F3" w:rsidRPr="00AC65F3" w:rsidRDefault="00AC65F3" w:rsidP="00547A5E">
      <w:pPr>
        <w:pStyle w:val="NormalWeb"/>
        <w:ind w:left="720" w:hanging="720"/>
        <w:rPr>
          <w:color w:val="000000" w:themeColor="text1"/>
          <w:shd w:val="clear" w:color="auto" w:fill="FFFFFF"/>
        </w:rPr>
      </w:pPr>
      <w:r w:rsidRPr="00AC65F3">
        <w:rPr>
          <w:color w:val="000000" w:themeColor="text1"/>
          <w:shd w:val="clear" w:color="auto" w:fill="FFFFFF"/>
        </w:rPr>
        <w:t>Pardiñas, A. F., Holmans, P., Pocklington, A. J., Escott-Price, V., Ripke, S., Carrera, N., ... &amp; Walters, J. T. (2018). Common schizophrenia alleles are enriched in mutation-intolerant genes and in regions under strong background selection. </w:t>
      </w:r>
      <w:r w:rsidRPr="00AC65F3">
        <w:rPr>
          <w:i/>
          <w:iCs/>
          <w:color w:val="000000" w:themeColor="text1"/>
          <w:shd w:val="clear" w:color="auto" w:fill="FFFFFF"/>
        </w:rPr>
        <w:t>Nature Genetics, 50</w:t>
      </w:r>
      <w:r w:rsidRPr="00AC65F3">
        <w:rPr>
          <w:color w:val="000000" w:themeColor="text1"/>
          <w:shd w:val="clear" w:color="auto" w:fill="FFFFFF"/>
        </w:rPr>
        <w:t>(3), 381-389. </w:t>
      </w:r>
    </w:p>
    <w:p w14:paraId="75D4E0B5" w14:textId="77777777" w:rsidR="00AC65F3" w:rsidRPr="00AC65F3" w:rsidRDefault="00AC65F3" w:rsidP="00547A5E">
      <w:pPr>
        <w:pStyle w:val="NormalWeb"/>
        <w:ind w:left="720" w:hanging="720"/>
        <w:rPr>
          <w:color w:val="000000" w:themeColor="text1"/>
          <w:shd w:val="clear" w:color="auto" w:fill="FFFFFF"/>
        </w:rPr>
      </w:pPr>
      <w:r w:rsidRPr="00AC65F3">
        <w:rPr>
          <w:color w:val="000000" w:themeColor="text1"/>
          <w:shd w:val="clear" w:color="auto" w:fill="FFFFFF"/>
        </w:rPr>
        <w:t xml:space="preserve">Rutter, M., Bailey, A., &amp; Lord, C. (2003). SCQ The Social Communication Questionnaire: Manual. Los Angeles: Western Psychological Services. </w:t>
      </w:r>
    </w:p>
    <w:p w14:paraId="02BD67C2"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 xml:space="preserve">Savage, J. E., Jansen, P. R., Stringer, S., Watanabe, K., Bryois, J., De Leeuw, C. A., ... &amp; Posthuma, D. (2018). Genome-wide association meta-analysis in 269,867 individuals </w:t>
      </w:r>
      <w:r w:rsidRPr="00AC65F3">
        <w:rPr>
          <w:color w:val="000000" w:themeColor="text1"/>
          <w:shd w:val="clear" w:color="auto" w:fill="FFFFFF"/>
        </w:rPr>
        <w:lastRenderedPageBreak/>
        <w:t>identifies new genetic and functional links to intelligence. </w:t>
      </w:r>
      <w:r w:rsidRPr="00AC65F3">
        <w:rPr>
          <w:i/>
          <w:iCs/>
          <w:color w:val="000000" w:themeColor="text1"/>
          <w:shd w:val="clear" w:color="auto" w:fill="FFFFFF"/>
        </w:rPr>
        <w:t>Nature Genetics, 50</w:t>
      </w:r>
      <w:r w:rsidRPr="00AC65F3">
        <w:rPr>
          <w:color w:val="000000" w:themeColor="text1"/>
          <w:shd w:val="clear" w:color="auto" w:fill="FFFFFF"/>
        </w:rPr>
        <w:t>(7), 912-919. </w:t>
      </w:r>
    </w:p>
    <w:p w14:paraId="374240FD" w14:textId="77777777" w:rsidR="00AC65F3" w:rsidRPr="00AC65F3" w:rsidRDefault="00AC65F3" w:rsidP="00360AEF">
      <w:pPr>
        <w:pStyle w:val="NormalWeb"/>
        <w:ind w:left="720" w:hanging="720"/>
        <w:rPr>
          <w:color w:val="000000" w:themeColor="text1"/>
          <w:shd w:val="clear" w:color="auto" w:fill="FFFFFF"/>
        </w:rPr>
      </w:pPr>
      <w:r w:rsidRPr="00AC65F3">
        <w:rPr>
          <w:color w:val="000000" w:themeColor="text1"/>
          <w:shd w:val="clear" w:color="auto" w:fill="FFFFFF"/>
        </w:rPr>
        <w:t>Stahl, E. A., Breen, G., Forstner, A. J., McQuillin, A., Ripke, S., Trubetskoy, V., ... &amp; Reif, A. (2019). Genome-wide association study identifies 30 loci associated with bipolar disorder. </w:t>
      </w:r>
      <w:r w:rsidRPr="00AC65F3">
        <w:rPr>
          <w:i/>
          <w:iCs/>
          <w:color w:val="000000" w:themeColor="text1"/>
          <w:shd w:val="clear" w:color="auto" w:fill="FFFFFF"/>
        </w:rPr>
        <w:t>Nature Genetics, 51</w:t>
      </w:r>
      <w:r w:rsidRPr="00AC65F3">
        <w:rPr>
          <w:color w:val="000000" w:themeColor="text1"/>
          <w:shd w:val="clear" w:color="auto" w:fill="FFFFFF"/>
        </w:rPr>
        <w:t>(5), 793-803.</w:t>
      </w:r>
    </w:p>
    <w:p w14:paraId="03C3F6A5" w14:textId="77777777" w:rsidR="00AC65F3" w:rsidRPr="00AC65F3" w:rsidRDefault="00AC65F3" w:rsidP="00AC65F3">
      <w:pPr>
        <w:pStyle w:val="NormalWeb"/>
        <w:ind w:left="720" w:hanging="720"/>
        <w:rPr>
          <w:color w:val="222222"/>
          <w:shd w:val="clear" w:color="auto" w:fill="FFFFFF"/>
        </w:rPr>
      </w:pPr>
      <w:r w:rsidRPr="00AC65F3">
        <w:rPr>
          <w:color w:val="222222"/>
          <w:shd w:val="clear" w:color="auto" w:fill="FFFFFF"/>
        </w:rPr>
        <w:t>Turley, P., Walters, R. K., Maghzian, O., Okbay, A., Lee, J. J., Fontana, M. A., ... &amp; Benjamin, D. J. (2018). Multi-trait analysis of genome-wide association summary statistics using MTAG.</w:t>
      </w:r>
      <w:r w:rsidRPr="00AC65F3">
        <w:rPr>
          <w:rStyle w:val="apple-converted-space"/>
          <w:rFonts w:eastAsiaTheme="majorEastAsia"/>
          <w:color w:val="222222"/>
          <w:shd w:val="clear" w:color="auto" w:fill="FFFFFF"/>
        </w:rPr>
        <w:t> </w:t>
      </w:r>
      <w:r w:rsidRPr="00AC65F3">
        <w:rPr>
          <w:i/>
          <w:iCs/>
          <w:color w:val="222222"/>
        </w:rPr>
        <w:t>Nature genetics</w:t>
      </w:r>
      <w:r w:rsidRPr="00AC65F3">
        <w:rPr>
          <w:color w:val="222222"/>
          <w:shd w:val="clear" w:color="auto" w:fill="FFFFFF"/>
        </w:rPr>
        <w:t>,</w:t>
      </w:r>
      <w:r w:rsidRPr="00AC65F3">
        <w:rPr>
          <w:rStyle w:val="apple-converted-space"/>
          <w:rFonts w:eastAsiaTheme="majorEastAsia"/>
          <w:color w:val="222222"/>
          <w:shd w:val="clear" w:color="auto" w:fill="FFFFFF"/>
        </w:rPr>
        <w:t> </w:t>
      </w:r>
      <w:r w:rsidRPr="00AC65F3">
        <w:rPr>
          <w:i/>
          <w:iCs/>
          <w:color w:val="222222"/>
        </w:rPr>
        <w:t>50</w:t>
      </w:r>
      <w:r w:rsidRPr="00AC65F3">
        <w:rPr>
          <w:color w:val="222222"/>
          <w:shd w:val="clear" w:color="auto" w:fill="FFFFFF"/>
        </w:rPr>
        <w:t>(2), 229-237.</w:t>
      </w:r>
    </w:p>
    <w:p w14:paraId="0FD9BC0F"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van Buuren, S. (2018). Flexible imputation of missing data. CRC Press. </w:t>
      </w:r>
    </w:p>
    <w:p w14:paraId="2F10540E"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van Buuren, S., &amp; Groothuis-Oudshoorn, K. (2011). mice: Multivariate imputation by chained equations in R. </w:t>
      </w:r>
      <w:r w:rsidRPr="00AC65F3">
        <w:rPr>
          <w:i/>
          <w:iCs/>
          <w:color w:val="000000" w:themeColor="text1"/>
          <w:shd w:val="clear" w:color="auto" w:fill="FFFFFF"/>
        </w:rPr>
        <w:t>Journal of Statistical Software, 45</w:t>
      </w:r>
      <w:r w:rsidRPr="00AC65F3">
        <w:rPr>
          <w:color w:val="000000" w:themeColor="text1"/>
          <w:shd w:val="clear" w:color="auto" w:fill="FFFFFF"/>
        </w:rPr>
        <w:t>(3), 67. </w:t>
      </w:r>
    </w:p>
    <w:p w14:paraId="2075774D"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van Ginkel, J. R., Linting, M., Rippe, R. C. A., &amp; van der Voort, A. (2020). Rebutting existing misconceptions about multiple imputation as a method for handling missing data. </w:t>
      </w:r>
      <w:r w:rsidRPr="00AC65F3">
        <w:rPr>
          <w:i/>
          <w:iCs/>
          <w:color w:val="000000" w:themeColor="text1"/>
          <w:shd w:val="clear" w:color="auto" w:fill="FFFFFF"/>
        </w:rPr>
        <w:t>Journal of Personality Assessment, 102</w:t>
      </w:r>
      <w:r w:rsidRPr="00AC65F3">
        <w:rPr>
          <w:color w:val="000000" w:themeColor="text1"/>
          <w:shd w:val="clear" w:color="auto" w:fill="FFFFFF"/>
        </w:rPr>
        <w:t>(3), 297-308.</w:t>
      </w:r>
    </w:p>
    <w:p w14:paraId="556E931F"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Wootton, R. E., Richmond, R. C., Stuijfzand, B. G., Lawn, R. B., Sallis, H. M., Taylor, G. M., ... &amp; Munafò, M. R. (2020). Evidence for causal effects of lifetime smoking on risk for depression and schizophrenia: a Mendelian randomisation study. </w:t>
      </w:r>
      <w:r w:rsidRPr="00AC65F3">
        <w:rPr>
          <w:i/>
          <w:iCs/>
          <w:color w:val="000000" w:themeColor="text1"/>
          <w:shd w:val="clear" w:color="auto" w:fill="FFFFFF"/>
        </w:rPr>
        <w:t>Psychological Medicine, 50</w:t>
      </w:r>
      <w:r w:rsidRPr="00AC65F3">
        <w:rPr>
          <w:color w:val="000000" w:themeColor="text1"/>
          <w:shd w:val="clear" w:color="auto" w:fill="FFFFFF"/>
        </w:rPr>
        <w:t>(14), 2435-2443. </w:t>
      </w:r>
    </w:p>
    <w:p w14:paraId="0E0EF76A" w14:textId="77777777" w:rsidR="00AC65F3" w:rsidRPr="00AC65F3" w:rsidRDefault="00AC65F3" w:rsidP="00546749">
      <w:pPr>
        <w:pStyle w:val="NormalWeb"/>
        <w:ind w:left="720" w:hanging="720"/>
        <w:rPr>
          <w:color w:val="000000" w:themeColor="text1"/>
          <w:shd w:val="clear" w:color="auto" w:fill="FFFFFF"/>
        </w:rPr>
      </w:pPr>
      <w:r w:rsidRPr="00AC65F3">
        <w:rPr>
          <w:color w:val="000000" w:themeColor="text1"/>
          <w:shd w:val="clear" w:color="auto" w:fill="FFFFFF"/>
        </w:rPr>
        <w:t>Yengo, L., Sidorenko, J., Kemper, K. E., Zheng, Z., Wood, A. R., Weedon, M. N., ... &amp; Giant Consortium. (2018). Meta-analysis of genome-wide association studies for height and body mass index in ~700000 individuals of European ancestry. </w:t>
      </w:r>
      <w:r w:rsidRPr="00AC65F3">
        <w:rPr>
          <w:i/>
          <w:iCs/>
          <w:color w:val="000000" w:themeColor="text1"/>
          <w:shd w:val="clear" w:color="auto" w:fill="FFFFFF"/>
        </w:rPr>
        <w:t>Human Molecular Genetics, 27</w:t>
      </w:r>
      <w:r w:rsidRPr="00AC65F3">
        <w:rPr>
          <w:color w:val="000000" w:themeColor="text1"/>
          <w:shd w:val="clear" w:color="auto" w:fill="FFFFFF"/>
        </w:rPr>
        <w:t xml:space="preserve">(20), 3641-3649.  </w:t>
      </w:r>
    </w:p>
    <w:sectPr w:rsidR="00AC65F3" w:rsidRPr="00AC65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9363" w14:textId="77777777" w:rsidR="00100D88" w:rsidRDefault="00100D88" w:rsidP="00E73C68">
      <w:r>
        <w:separator/>
      </w:r>
    </w:p>
  </w:endnote>
  <w:endnote w:type="continuationSeparator" w:id="0">
    <w:p w14:paraId="52FF3839" w14:textId="77777777" w:rsidR="00100D88" w:rsidRDefault="00100D88" w:rsidP="00E7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D722" w14:textId="77777777" w:rsidR="00100D88" w:rsidRDefault="00100D88" w:rsidP="00E73C68">
      <w:r>
        <w:separator/>
      </w:r>
    </w:p>
  </w:footnote>
  <w:footnote w:type="continuationSeparator" w:id="0">
    <w:p w14:paraId="6A42853E" w14:textId="77777777" w:rsidR="00100D88" w:rsidRDefault="00100D88" w:rsidP="00E7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6538"/>
    <w:multiLevelType w:val="hybridMultilevel"/>
    <w:tmpl w:val="D70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544DB"/>
    <w:multiLevelType w:val="multilevel"/>
    <w:tmpl w:val="A588E44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F03D9"/>
    <w:multiLevelType w:val="hybridMultilevel"/>
    <w:tmpl w:val="77CC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B4CD7"/>
    <w:multiLevelType w:val="multilevel"/>
    <w:tmpl w:val="2488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457A5C"/>
    <w:multiLevelType w:val="hybridMultilevel"/>
    <w:tmpl w:val="92BC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A7751"/>
    <w:multiLevelType w:val="multilevel"/>
    <w:tmpl w:val="436AAE4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62404">
    <w:abstractNumId w:val="5"/>
  </w:num>
  <w:num w:numId="2" w16cid:durableId="988021228">
    <w:abstractNumId w:val="1"/>
  </w:num>
  <w:num w:numId="3" w16cid:durableId="825894913">
    <w:abstractNumId w:val="3"/>
  </w:num>
  <w:num w:numId="4" w16cid:durableId="962464341">
    <w:abstractNumId w:val="0"/>
  </w:num>
  <w:num w:numId="5" w16cid:durableId="1376269756">
    <w:abstractNumId w:val="2"/>
  </w:num>
  <w:num w:numId="6" w16cid:durableId="43417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8C"/>
    <w:rsid w:val="00013224"/>
    <w:rsid w:val="0002729C"/>
    <w:rsid w:val="000444E3"/>
    <w:rsid w:val="000A060E"/>
    <w:rsid w:val="000F66AD"/>
    <w:rsid w:val="00100D88"/>
    <w:rsid w:val="0012087A"/>
    <w:rsid w:val="001275B4"/>
    <w:rsid w:val="001736A3"/>
    <w:rsid w:val="00200FF2"/>
    <w:rsid w:val="002113B4"/>
    <w:rsid w:val="0025255B"/>
    <w:rsid w:val="0027595C"/>
    <w:rsid w:val="0029685A"/>
    <w:rsid w:val="002A2C77"/>
    <w:rsid w:val="002F7F1C"/>
    <w:rsid w:val="00315A3A"/>
    <w:rsid w:val="003176FF"/>
    <w:rsid w:val="00343967"/>
    <w:rsid w:val="00347054"/>
    <w:rsid w:val="00360AEF"/>
    <w:rsid w:val="003E25BE"/>
    <w:rsid w:val="004B7B1F"/>
    <w:rsid w:val="004C0644"/>
    <w:rsid w:val="004D2C32"/>
    <w:rsid w:val="00510607"/>
    <w:rsid w:val="00546749"/>
    <w:rsid w:val="00547A5E"/>
    <w:rsid w:val="00581062"/>
    <w:rsid w:val="006210CA"/>
    <w:rsid w:val="00677A10"/>
    <w:rsid w:val="006A57BE"/>
    <w:rsid w:val="006C38FA"/>
    <w:rsid w:val="00700674"/>
    <w:rsid w:val="007034E6"/>
    <w:rsid w:val="00792B39"/>
    <w:rsid w:val="007A4D5E"/>
    <w:rsid w:val="007D25E5"/>
    <w:rsid w:val="00845344"/>
    <w:rsid w:val="00857385"/>
    <w:rsid w:val="0086762E"/>
    <w:rsid w:val="008A0CFB"/>
    <w:rsid w:val="008D3509"/>
    <w:rsid w:val="009203BA"/>
    <w:rsid w:val="009255B2"/>
    <w:rsid w:val="009658F8"/>
    <w:rsid w:val="009717E3"/>
    <w:rsid w:val="009C17C7"/>
    <w:rsid w:val="009D41DA"/>
    <w:rsid w:val="009F36CC"/>
    <w:rsid w:val="00A10D82"/>
    <w:rsid w:val="00A244D7"/>
    <w:rsid w:val="00A50986"/>
    <w:rsid w:val="00AA166D"/>
    <w:rsid w:val="00AC65F3"/>
    <w:rsid w:val="00AF3B9C"/>
    <w:rsid w:val="00B11071"/>
    <w:rsid w:val="00B12BA9"/>
    <w:rsid w:val="00B16131"/>
    <w:rsid w:val="00B22E57"/>
    <w:rsid w:val="00B43DD2"/>
    <w:rsid w:val="00B532CC"/>
    <w:rsid w:val="00B96A83"/>
    <w:rsid w:val="00BB7C15"/>
    <w:rsid w:val="00BC5D87"/>
    <w:rsid w:val="00C6567C"/>
    <w:rsid w:val="00C656ED"/>
    <w:rsid w:val="00CA44FC"/>
    <w:rsid w:val="00CE24FE"/>
    <w:rsid w:val="00D3160E"/>
    <w:rsid w:val="00D4702C"/>
    <w:rsid w:val="00D510B3"/>
    <w:rsid w:val="00D5540C"/>
    <w:rsid w:val="00D9788C"/>
    <w:rsid w:val="00DE2303"/>
    <w:rsid w:val="00E10787"/>
    <w:rsid w:val="00E45E78"/>
    <w:rsid w:val="00E51954"/>
    <w:rsid w:val="00E65EC4"/>
    <w:rsid w:val="00E73C68"/>
    <w:rsid w:val="00EC0412"/>
    <w:rsid w:val="00ED0845"/>
    <w:rsid w:val="00F37298"/>
    <w:rsid w:val="00F576C4"/>
    <w:rsid w:val="00FA78DB"/>
    <w:rsid w:val="00FA79E0"/>
    <w:rsid w:val="00FC5BE3"/>
    <w:rsid w:val="00FE0F53"/>
  </w:rsids>
  <m:mathPr>
    <m:mathFont m:val="Cambria Math"/>
    <m:brkBin m:val="before"/>
    <m:brkBinSub m:val="--"/>
    <m:smallFrac m:val="0"/>
    <m:dispDef/>
    <m:lMargin m:val="0"/>
    <m:rMargin m:val="0"/>
    <m:defJc m:val="centerGroup"/>
    <m:wrapIndent m:val="1440"/>
    <m:intLim m:val="subSup"/>
    <m:naryLim m:val="undOvr"/>
  </m:mathPr>
  <w:themeFontLang w:val="en-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BE44"/>
  <w15:chartTrackingRefBased/>
  <w15:docId w15:val="{E1D6227A-1233-8A47-BD8B-1EEAFCD0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8C"/>
    <w:rPr>
      <w:rFonts w:eastAsiaTheme="majorEastAsia" w:cstheme="majorBidi"/>
      <w:color w:val="272727" w:themeColor="text1" w:themeTint="D8"/>
    </w:rPr>
  </w:style>
  <w:style w:type="paragraph" w:styleId="Title">
    <w:name w:val="Title"/>
    <w:basedOn w:val="Normal"/>
    <w:next w:val="Normal"/>
    <w:link w:val="TitleChar"/>
    <w:uiPriority w:val="10"/>
    <w:qFormat/>
    <w:rsid w:val="00D97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88C"/>
    <w:rPr>
      <w:i/>
      <w:iCs/>
      <w:color w:val="404040" w:themeColor="text1" w:themeTint="BF"/>
    </w:rPr>
  </w:style>
  <w:style w:type="paragraph" w:styleId="ListParagraph">
    <w:name w:val="List Paragraph"/>
    <w:basedOn w:val="Normal"/>
    <w:uiPriority w:val="34"/>
    <w:qFormat/>
    <w:rsid w:val="00D9788C"/>
    <w:pPr>
      <w:ind w:left="720"/>
      <w:contextualSpacing/>
    </w:pPr>
  </w:style>
  <w:style w:type="character" w:styleId="IntenseEmphasis">
    <w:name w:val="Intense Emphasis"/>
    <w:basedOn w:val="DefaultParagraphFont"/>
    <w:uiPriority w:val="21"/>
    <w:qFormat/>
    <w:rsid w:val="00D9788C"/>
    <w:rPr>
      <w:i/>
      <w:iCs/>
      <w:color w:val="0F4761" w:themeColor="accent1" w:themeShade="BF"/>
    </w:rPr>
  </w:style>
  <w:style w:type="paragraph" w:styleId="IntenseQuote">
    <w:name w:val="Intense Quote"/>
    <w:basedOn w:val="Normal"/>
    <w:next w:val="Normal"/>
    <w:link w:val="IntenseQuoteChar"/>
    <w:uiPriority w:val="30"/>
    <w:qFormat/>
    <w:rsid w:val="00D9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88C"/>
    <w:rPr>
      <w:i/>
      <w:iCs/>
      <w:color w:val="0F4761" w:themeColor="accent1" w:themeShade="BF"/>
    </w:rPr>
  </w:style>
  <w:style w:type="character" w:styleId="IntenseReference">
    <w:name w:val="Intense Reference"/>
    <w:basedOn w:val="DefaultParagraphFont"/>
    <w:uiPriority w:val="32"/>
    <w:qFormat/>
    <w:rsid w:val="00D9788C"/>
    <w:rPr>
      <w:b/>
      <w:bCs/>
      <w:smallCaps/>
      <w:color w:val="0F4761" w:themeColor="accent1" w:themeShade="BF"/>
      <w:spacing w:val="5"/>
    </w:rPr>
  </w:style>
  <w:style w:type="paragraph" w:styleId="NormalWeb">
    <w:name w:val="Normal (Web)"/>
    <w:basedOn w:val="Normal"/>
    <w:uiPriority w:val="99"/>
    <w:unhideWhenUsed/>
    <w:rsid w:val="006210C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210CA"/>
    <w:rPr>
      <w:color w:val="467886" w:themeColor="hyperlink"/>
      <w:u w:val="single"/>
    </w:rPr>
  </w:style>
  <w:style w:type="character" w:styleId="UnresolvedMention">
    <w:name w:val="Unresolved Mention"/>
    <w:basedOn w:val="DefaultParagraphFont"/>
    <w:uiPriority w:val="99"/>
    <w:semiHidden/>
    <w:unhideWhenUsed/>
    <w:rsid w:val="006210CA"/>
    <w:rPr>
      <w:color w:val="605E5C"/>
      <w:shd w:val="clear" w:color="auto" w:fill="E1DFDD"/>
    </w:rPr>
  </w:style>
  <w:style w:type="table" w:styleId="TableGrid">
    <w:name w:val="Table Grid"/>
    <w:basedOn w:val="TableNormal"/>
    <w:uiPriority w:val="39"/>
    <w:rsid w:val="0034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xx">
    <w:name w:val="html-xx"/>
    <w:basedOn w:val="Normal"/>
    <w:rsid w:val="002F7F1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E24FE"/>
  </w:style>
  <w:style w:type="character" w:styleId="Emphasis">
    <w:name w:val="Emphasis"/>
    <w:basedOn w:val="DefaultParagraphFont"/>
    <w:uiPriority w:val="20"/>
    <w:qFormat/>
    <w:rsid w:val="00700674"/>
    <w:rPr>
      <w:i/>
      <w:iCs/>
    </w:rPr>
  </w:style>
  <w:style w:type="paragraph" w:styleId="Header">
    <w:name w:val="header"/>
    <w:basedOn w:val="Normal"/>
    <w:link w:val="HeaderChar"/>
    <w:uiPriority w:val="99"/>
    <w:unhideWhenUsed/>
    <w:rsid w:val="00E73C68"/>
    <w:pPr>
      <w:tabs>
        <w:tab w:val="center" w:pos="4513"/>
        <w:tab w:val="right" w:pos="9026"/>
      </w:tabs>
    </w:pPr>
  </w:style>
  <w:style w:type="character" w:customStyle="1" w:styleId="HeaderChar">
    <w:name w:val="Header Char"/>
    <w:basedOn w:val="DefaultParagraphFont"/>
    <w:link w:val="Header"/>
    <w:uiPriority w:val="99"/>
    <w:rsid w:val="00E73C68"/>
  </w:style>
  <w:style w:type="paragraph" w:styleId="Footer">
    <w:name w:val="footer"/>
    <w:basedOn w:val="Normal"/>
    <w:link w:val="FooterChar"/>
    <w:uiPriority w:val="99"/>
    <w:unhideWhenUsed/>
    <w:rsid w:val="00E73C68"/>
    <w:pPr>
      <w:tabs>
        <w:tab w:val="center" w:pos="4513"/>
        <w:tab w:val="right" w:pos="9026"/>
      </w:tabs>
    </w:pPr>
  </w:style>
  <w:style w:type="character" w:customStyle="1" w:styleId="FooterChar">
    <w:name w:val="Footer Char"/>
    <w:basedOn w:val="DefaultParagraphFont"/>
    <w:link w:val="Footer"/>
    <w:uiPriority w:val="99"/>
    <w:rsid w:val="00E73C68"/>
  </w:style>
  <w:style w:type="character" w:styleId="CommentReference">
    <w:name w:val="annotation reference"/>
    <w:basedOn w:val="DefaultParagraphFont"/>
    <w:uiPriority w:val="99"/>
    <w:semiHidden/>
    <w:unhideWhenUsed/>
    <w:rsid w:val="00F372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535">
      <w:bodyDiv w:val="1"/>
      <w:marLeft w:val="0"/>
      <w:marRight w:val="0"/>
      <w:marTop w:val="0"/>
      <w:marBottom w:val="0"/>
      <w:divBdr>
        <w:top w:val="none" w:sz="0" w:space="0" w:color="auto"/>
        <w:left w:val="none" w:sz="0" w:space="0" w:color="auto"/>
        <w:bottom w:val="none" w:sz="0" w:space="0" w:color="auto"/>
        <w:right w:val="none" w:sz="0" w:space="0" w:color="auto"/>
      </w:divBdr>
      <w:divsChild>
        <w:div w:id="1266226371">
          <w:marLeft w:val="0"/>
          <w:marRight w:val="0"/>
          <w:marTop w:val="0"/>
          <w:marBottom w:val="0"/>
          <w:divBdr>
            <w:top w:val="none" w:sz="0" w:space="0" w:color="auto"/>
            <w:left w:val="none" w:sz="0" w:space="0" w:color="auto"/>
            <w:bottom w:val="none" w:sz="0" w:space="0" w:color="auto"/>
            <w:right w:val="none" w:sz="0" w:space="0" w:color="auto"/>
          </w:divBdr>
          <w:divsChild>
            <w:div w:id="507604331">
              <w:marLeft w:val="0"/>
              <w:marRight w:val="0"/>
              <w:marTop w:val="0"/>
              <w:marBottom w:val="0"/>
              <w:divBdr>
                <w:top w:val="none" w:sz="0" w:space="0" w:color="auto"/>
                <w:left w:val="none" w:sz="0" w:space="0" w:color="auto"/>
                <w:bottom w:val="none" w:sz="0" w:space="0" w:color="auto"/>
                <w:right w:val="none" w:sz="0" w:space="0" w:color="auto"/>
              </w:divBdr>
              <w:divsChild>
                <w:div w:id="20215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4147">
      <w:bodyDiv w:val="1"/>
      <w:marLeft w:val="0"/>
      <w:marRight w:val="0"/>
      <w:marTop w:val="0"/>
      <w:marBottom w:val="0"/>
      <w:divBdr>
        <w:top w:val="none" w:sz="0" w:space="0" w:color="auto"/>
        <w:left w:val="none" w:sz="0" w:space="0" w:color="auto"/>
        <w:bottom w:val="none" w:sz="0" w:space="0" w:color="auto"/>
        <w:right w:val="none" w:sz="0" w:space="0" w:color="auto"/>
      </w:divBdr>
    </w:div>
    <w:div w:id="198588805">
      <w:bodyDiv w:val="1"/>
      <w:marLeft w:val="0"/>
      <w:marRight w:val="0"/>
      <w:marTop w:val="0"/>
      <w:marBottom w:val="0"/>
      <w:divBdr>
        <w:top w:val="none" w:sz="0" w:space="0" w:color="auto"/>
        <w:left w:val="none" w:sz="0" w:space="0" w:color="auto"/>
        <w:bottom w:val="none" w:sz="0" w:space="0" w:color="auto"/>
        <w:right w:val="none" w:sz="0" w:space="0" w:color="auto"/>
      </w:divBdr>
      <w:divsChild>
        <w:div w:id="1000617728">
          <w:marLeft w:val="0"/>
          <w:marRight w:val="0"/>
          <w:marTop w:val="0"/>
          <w:marBottom w:val="0"/>
          <w:divBdr>
            <w:top w:val="none" w:sz="0" w:space="0" w:color="auto"/>
            <w:left w:val="none" w:sz="0" w:space="0" w:color="auto"/>
            <w:bottom w:val="none" w:sz="0" w:space="0" w:color="auto"/>
            <w:right w:val="none" w:sz="0" w:space="0" w:color="auto"/>
          </w:divBdr>
          <w:divsChild>
            <w:div w:id="1621298589">
              <w:marLeft w:val="0"/>
              <w:marRight w:val="0"/>
              <w:marTop w:val="0"/>
              <w:marBottom w:val="0"/>
              <w:divBdr>
                <w:top w:val="none" w:sz="0" w:space="0" w:color="auto"/>
                <w:left w:val="none" w:sz="0" w:space="0" w:color="auto"/>
                <w:bottom w:val="none" w:sz="0" w:space="0" w:color="auto"/>
                <w:right w:val="none" w:sz="0" w:space="0" w:color="auto"/>
              </w:divBdr>
              <w:divsChild>
                <w:div w:id="17259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2346">
      <w:bodyDiv w:val="1"/>
      <w:marLeft w:val="0"/>
      <w:marRight w:val="0"/>
      <w:marTop w:val="0"/>
      <w:marBottom w:val="0"/>
      <w:divBdr>
        <w:top w:val="none" w:sz="0" w:space="0" w:color="auto"/>
        <w:left w:val="none" w:sz="0" w:space="0" w:color="auto"/>
        <w:bottom w:val="none" w:sz="0" w:space="0" w:color="auto"/>
        <w:right w:val="none" w:sz="0" w:space="0" w:color="auto"/>
      </w:divBdr>
      <w:divsChild>
        <w:div w:id="1127626726">
          <w:marLeft w:val="0"/>
          <w:marRight w:val="0"/>
          <w:marTop w:val="0"/>
          <w:marBottom w:val="0"/>
          <w:divBdr>
            <w:top w:val="none" w:sz="0" w:space="0" w:color="auto"/>
            <w:left w:val="none" w:sz="0" w:space="0" w:color="auto"/>
            <w:bottom w:val="none" w:sz="0" w:space="0" w:color="auto"/>
            <w:right w:val="none" w:sz="0" w:space="0" w:color="auto"/>
          </w:divBdr>
          <w:divsChild>
            <w:div w:id="1248151615">
              <w:marLeft w:val="0"/>
              <w:marRight w:val="0"/>
              <w:marTop w:val="0"/>
              <w:marBottom w:val="0"/>
              <w:divBdr>
                <w:top w:val="none" w:sz="0" w:space="0" w:color="auto"/>
                <w:left w:val="none" w:sz="0" w:space="0" w:color="auto"/>
                <w:bottom w:val="none" w:sz="0" w:space="0" w:color="auto"/>
                <w:right w:val="none" w:sz="0" w:space="0" w:color="auto"/>
              </w:divBdr>
              <w:divsChild>
                <w:div w:id="21174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5197">
      <w:bodyDiv w:val="1"/>
      <w:marLeft w:val="0"/>
      <w:marRight w:val="0"/>
      <w:marTop w:val="0"/>
      <w:marBottom w:val="0"/>
      <w:divBdr>
        <w:top w:val="none" w:sz="0" w:space="0" w:color="auto"/>
        <w:left w:val="none" w:sz="0" w:space="0" w:color="auto"/>
        <w:bottom w:val="none" w:sz="0" w:space="0" w:color="auto"/>
        <w:right w:val="none" w:sz="0" w:space="0" w:color="auto"/>
      </w:divBdr>
      <w:divsChild>
        <w:div w:id="626156348">
          <w:marLeft w:val="0"/>
          <w:marRight w:val="0"/>
          <w:marTop w:val="0"/>
          <w:marBottom w:val="0"/>
          <w:divBdr>
            <w:top w:val="none" w:sz="0" w:space="0" w:color="auto"/>
            <w:left w:val="none" w:sz="0" w:space="0" w:color="auto"/>
            <w:bottom w:val="none" w:sz="0" w:space="0" w:color="auto"/>
            <w:right w:val="none" w:sz="0" w:space="0" w:color="auto"/>
          </w:divBdr>
          <w:divsChild>
            <w:div w:id="481194757">
              <w:marLeft w:val="0"/>
              <w:marRight w:val="0"/>
              <w:marTop w:val="0"/>
              <w:marBottom w:val="0"/>
              <w:divBdr>
                <w:top w:val="none" w:sz="0" w:space="0" w:color="auto"/>
                <w:left w:val="none" w:sz="0" w:space="0" w:color="auto"/>
                <w:bottom w:val="none" w:sz="0" w:space="0" w:color="auto"/>
                <w:right w:val="none" w:sz="0" w:space="0" w:color="auto"/>
              </w:divBdr>
              <w:divsChild>
                <w:div w:id="590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61619">
      <w:bodyDiv w:val="1"/>
      <w:marLeft w:val="0"/>
      <w:marRight w:val="0"/>
      <w:marTop w:val="0"/>
      <w:marBottom w:val="0"/>
      <w:divBdr>
        <w:top w:val="none" w:sz="0" w:space="0" w:color="auto"/>
        <w:left w:val="none" w:sz="0" w:space="0" w:color="auto"/>
        <w:bottom w:val="none" w:sz="0" w:space="0" w:color="auto"/>
        <w:right w:val="none" w:sz="0" w:space="0" w:color="auto"/>
      </w:divBdr>
      <w:divsChild>
        <w:div w:id="423377354">
          <w:marLeft w:val="0"/>
          <w:marRight w:val="0"/>
          <w:marTop w:val="0"/>
          <w:marBottom w:val="0"/>
          <w:divBdr>
            <w:top w:val="none" w:sz="0" w:space="0" w:color="auto"/>
            <w:left w:val="none" w:sz="0" w:space="0" w:color="auto"/>
            <w:bottom w:val="none" w:sz="0" w:space="0" w:color="auto"/>
            <w:right w:val="none" w:sz="0" w:space="0" w:color="auto"/>
          </w:divBdr>
          <w:divsChild>
            <w:div w:id="1352947545">
              <w:marLeft w:val="0"/>
              <w:marRight w:val="0"/>
              <w:marTop w:val="0"/>
              <w:marBottom w:val="0"/>
              <w:divBdr>
                <w:top w:val="none" w:sz="0" w:space="0" w:color="auto"/>
                <w:left w:val="none" w:sz="0" w:space="0" w:color="auto"/>
                <w:bottom w:val="none" w:sz="0" w:space="0" w:color="auto"/>
                <w:right w:val="none" w:sz="0" w:space="0" w:color="auto"/>
              </w:divBdr>
              <w:divsChild>
                <w:div w:id="21262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87398">
      <w:bodyDiv w:val="1"/>
      <w:marLeft w:val="0"/>
      <w:marRight w:val="0"/>
      <w:marTop w:val="0"/>
      <w:marBottom w:val="0"/>
      <w:divBdr>
        <w:top w:val="none" w:sz="0" w:space="0" w:color="auto"/>
        <w:left w:val="none" w:sz="0" w:space="0" w:color="auto"/>
        <w:bottom w:val="none" w:sz="0" w:space="0" w:color="auto"/>
        <w:right w:val="none" w:sz="0" w:space="0" w:color="auto"/>
      </w:divBdr>
      <w:divsChild>
        <w:div w:id="705641243">
          <w:marLeft w:val="0"/>
          <w:marRight w:val="0"/>
          <w:marTop w:val="0"/>
          <w:marBottom w:val="0"/>
          <w:divBdr>
            <w:top w:val="none" w:sz="0" w:space="0" w:color="auto"/>
            <w:left w:val="none" w:sz="0" w:space="0" w:color="auto"/>
            <w:bottom w:val="none" w:sz="0" w:space="0" w:color="auto"/>
            <w:right w:val="none" w:sz="0" w:space="0" w:color="auto"/>
          </w:divBdr>
          <w:divsChild>
            <w:div w:id="952905135">
              <w:marLeft w:val="0"/>
              <w:marRight w:val="0"/>
              <w:marTop w:val="0"/>
              <w:marBottom w:val="0"/>
              <w:divBdr>
                <w:top w:val="none" w:sz="0" w:space="0" w:color="auto"/>
                <w:left w:val="none" w:sz="0" w:space="0" w:color="auto"/>
                <w:bottom w:val="none" w:sz="0" w:space="0" w:color="auto"/>
                <w:right w:val="none" w:sz="0" w:space="0" w:color="auto"/>
              </w:divBdr>
              <w:divsChild>
                <w:div w:id="1656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6251">
      <w:bodyDiv w:val="1"/>
      <w:marLeft w:val="0"/>
      <w:marRight w:val="0"/>
      <w:marTop w:val="0"/>
      <w:marBottom w:val="0"/>
      <w:divBdr>
        <w:top w:val="none" w:sz="0" w:space="0" w:color="auto"/>
        <w:left w:val="none" w:sz="0" w:space="0" w:color="auto"/>
        <w:bottom w:val="none" w:sz="0" w:space="0" w:color="auto"/>
        <w:right w:val="none" w:sz="0" w:space="0" w:color="auto"/>
      </w:divBdr>
    </w:div>
    <w:div w:id="514346146">
      <w:bodyDiv w:val="1"/>
      <w:marLeft w:val="0"/>
      <w:marRight w:val="0"/>
      <w:marTop w:val="0"/>
      <w:marBottom w:val="0"/>
      <w:divBdr>
        <w:top w:val="none" w:sz="0" w:space="0" w:color="auto"/>
        <w:left w:val="none" w:sz="0" w:space="0" w:color="auto"/>
        <w:bottom w:val="none" w:sz="0" w:space="0" w:color="auto"/>
        <w:right w:val="none" w:sz="0" w:space="0" w:color="auto"/>
      </w:divBdr>
    </w:div>
    <w:div w:id="517818981">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4">
          <w:marLeft w:val="0"/>
          <w:marRight w:val="0"/>
          <w:marTop w:val="0"/>
          <w:marBottom w:val="0"/>
          <w:divBdr>
            <w:top w:val="none" w:sz="0" w:space="0" w:color="auto"/>
            <w:left w:val="none" w:sz="0" w:space="0" w:color="auto"/>
            <w:bottom w:val="none" w:sz="0" w:space="0" w:color="auto"/>
            <w:right w:val="none" w:sz="0" w:space="0" w:color="auto"/>
          </w:divBdr>
          <w:divsChild>
            <w:div w:id="1809318767">
              <w:marLeft w:val="0"/>
              <w:marRight w:val="0"/>
              <w:marTop w:val="0"/>
              <w:marBottom w:val="0"/>
              <w:divBdr>
                <w:top w:val="none" w:sz="0" w:space="0" w:color="auto"/>
                <w:left w:val="none" w:sz="0" w:space="0" w:color="auto"/>
                <w:bottom w:val="none" w:sz="0" w:space="0" w:color="auto"/>
                <w:right w:val="none" w:sz="0" w:space="0" w:color="auto"/>
              </w:divBdr>
              <w:divsChild>
                <w:div w:id="4784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08653">
      <w:bodyDiv w:val="1"/>
      <w:marLeft w:val="0"/>
      <w:marRight w:val="0"/>
      <w:marTop w:val="0"/>
      <w:marBottom w:val="0"/>
      <w:divBdr>
        <w:top w:val="none" w:sz="0" w:space="0" w:color="auto"/>
        <w:left w:val="none" w:sz="0" w:space="0" w:color="auto"/>
        <w:bottom w:val="none" w:sz="0" w:space="0" w:color="auto"/>
        <w:right w:val="none" w:sz="0" w:space="0" w:color="auto"/>
      </w:divBdr>
      <w:divsChild>
        <w:div w:id="256181853">
          <w:marLeft w:val="0"/>
          <w:marRight w:val="0"/>
          <w:marTop w:val="0"/>
          <w:marBottom w:val="0"/>
          <w:divBdr>
            <w:top w:val="none" w:sz="0" w:space="0" w:color="auto"/>
            <w:left w:val="none" w:sz="0" w:space="0" w:color="auto"/>
            <w:bottom w:val="none" w:sz="0" w:space="0" w:color="auto"/>
            <w:right w:val="none" w:sz="0" w:space="0" w:color="auto"/>
          </w:divBdr>
          <w:divsChild>
            <w:div w:id="693463204">
              <w:marLeft w:val="0"/>
              <w:marRight w:val="0"/>
              <w:marTop w:val="0"/>
              <w:marBottom w:val="0"/>
              <w:divBdr>
                <w:top w:val="none" w:sz="0" w:space="0" w:color="auto"/>
                <w:left w:val="none" w:sz="0" w:space="0" w:color="auto"/>
                <w:bottom w:val="none" w:sz="0" w:space="0" w:color="auto"/>
                <w:right w:val="none" w:sz="0" w:space="0" w:color="auto"/>
              </w:divBdr>
              <w:divsChild>
                <w:div w:id="2822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0633">
      <w:bodyDiv w:val="1"/>
      <w:marLeft w:val="0"/>
      <w:marRight w:val="0"/>
      <w:marTop w:val="0"/>
      <w:marBottom w:val="0"/>
      <w:divBdr>
        <w:top w:val="none" w:sz="0" w:space="0" w:color="auto"/>
        <w:left w:val="none" w:sz="0" w:space="0" w:color="auto"/>
        <w:bottom w:val="none" w:sz="0" w:space="0" w:color="auto"/>
        <w:right w:val="none" w:sz="0" w:space="0" w:color="auto"/>
      </w:divBdr>
      <w:divsChild>
        <w:div w:id="1638757495">
          <w:marLeft w:val="0"/>
          <w:marRight w:val="0"/>
          <w:marTop w:val="0"/>
          <w:marBottom w:val="0"/>
          <w:divBdr>
            <w:top w:val="none" w:sz="0" w:space="0" w:color="auto"/>
            <w:left w:val="none" w:sz="0" w:space="0" w:color="auto"/>
            <w:bottom w:val="none" w:sz="0" w:space="0" w:color="auto"/>
            <w:right w:val="none" w:sz="0" w:space="0" w:color="auto"/>
          </w:divBdr>
          <w:divsChild>
            <w:div w:id="1038622468">
              <w:marLeft w:val="0"/>
              <w:marRight w:val="0"/>
              <w:marTop w:val="0"/>
              <w:marBottom w:val="0"/>
              <w:divBdr>
                <w:top w:val="none" w:sz="0" w:space="0" w:color="auto"/>
                <w:left w:val="none" w:sz="0" w:space="0" w:color="auto"/>
                <w:bottom w:val="none" w:sz="0" w:space="0" w:color="auto"/>
                <w:right w:val="none" w:sz="0" w:space="0" w:color="auto"/>
              </w:divBdr>
              <w:divsChild>
                <w:div w:id="19798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502">
      <w:bodyDiv w:val="1"/>
      <w:marLeft w:val="0"/>
      <w:marRight w:val="0"/>
      <w:marTop w:val="0"/>
      <w:marBottom w:val="0"/>
      <w:divBdr>
        <w:top w:val="none" w:sz="0" w:space="0" w:color="auto"/>
        <w:left w:val="none" w:sz="0" w:space="0" w:color="auto"/>
        <w:bottom w:val="none" w:sz="0" w:space="0" w:color="auto"/>
        <w:right w:val="none" w:sz="0" w:space="0" w:color="auto"/>
      </w:divBdr>
      <w:divsChild>
        <w:div w:id="754743332">
          <w:marLeft w:val="0"/>
          <w:marRight w:val="0"/>
          <w:marTop w:val="0"/>
          <w:marBottom w:val="0"/>
          <w:divBdr>
            <w:top w:val="none" w:sz="0" w:space="0" w:color="auto"/>
            <w:left w:val="none" w:sz="0" w:space="0" w:color="auto"/>
            <w:bottom w:val="none" w:sz="0" w:space="0" w:color="auto"/>
            <w:right w:val="none" w:sz="0" w:space="0" w:color="auto"/>
          </w:divBdr>
          <w:divsChild>
            <w:div w:id="269972526">
              <w:marLeft w:val="0"/>
              <w:marRight w:val="0"/>
              <w:marTop w:val="0"/>
              <w:marBottom w:val="0"/>
              <w:divBdr>
                <w:top w:val="none" w:sz="0" w:space="0" w:color="auto"/>
                <w:left w:val="none" w:sz="0" w:space="0" w:color="auto"/>
                <w:bottom w:val="none" w:sz="0" w:space="0" w:color="auto"/>
                <w:right w:val="none" w:sz="0" w:space="0" w:color="auto"/>
              </w:divBdr>
              <w:divsChild>
                <w:div w:id="9357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80452">
      <w:bodyDiv w:val="1"/>
      <w:marLeft w:val="0"/>
      <w:marRight w:val="0"/>
      <w:marTop w:val="0"/>
      <w:marBottom w:val="0"/>
      <w:divBdr>
        <w:top w:val="none" w:sz="0" w:space="0" w:color="auto"/>
        <w:left w:val="none" w:sz="0" w:space="0" w:color="auto"/>
        <w:bottom w:val="none" w:sz="0" w:space="0" w:color="auto"/>
        <w:right w:val="none" w:sz="0" w:space="0" w:color="auto"/>
      </w:divBdr>
      <w:divsChild>
        <w:div w:id="1072049356">
          <w:marLeft w:val="0"/>
          <w:marRight w:val="0"/>
          <w:marTop w:val="0"/>
          <w:marBottom w:val="0"/>
          <w:divBdr>
            <w:top w:val="none" w:sz="0" w:space="0" w:color="auto"/>
            <w:left w:val="none" w:sz="0" w:space="0" w:color="auto"/>
            <w:bottom w:val="none" w:sz="0" w:space="0" w:color="auto"/>
            <w:right w:val="none" w:sz="0" w:space="0" w:color="auto"/>
          </w:divBdr>
          <w:divsChild>
            <w:div w:id="1257057061">
              <w:marLeft w:val="0"/>
              <w:marRight w:val="0"/>
              <w:marTop w:val="0"/>
              <w:marBottom w:val="0"/>
              <w:divBdr>
                <w:top w:val="none" w:sz="0" w:space="0" w:color="auto"/>
                <w:left w:val="none" w:sz="0" w:space="0" w:color="auto"/>
                <w:bottom w:val="none" w:sz="0" w:space="0" w:color="auto"/>
                <w:right w:val="none" w:sz="0" w:space="0" w:color="auto"/>
              </w:divBdr>
              <w:divsChild>
                <w:div w:id="12552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2865">
      <w:bodyDiv w:val="1"/>
      <w:marLeft w:val="0"/>
      <w:marRight w:val="0"/>
      <w:marTop w:val="0"/>
      <w:marBottom w:val="0"/>
      <w:divBdr>
        <w:top w:val="none" w:sz="0" w:space="0" w:color="auto"/>
        <w:left w:val="none" w:sz="0" w:space="0" w:color="auto"/>
        <w:bottom w:val="none" w:sz="0" w:space="0" w:color="auto"/>
        <w:right w:val="none" w:sz="0" w:space="0" w:color="auto"/>
      </w:divBdr>
      <w:divsChild>
        <w:div w:id="759645227">
          <w:marLeft w:val="0"/>
          <w:marRight w:val="0"/>
          <w:marTop w:val="0"/>
          <w:marBottom w:val="0"/>
          <w:divBdr>
            <w:top w:val="none" w:sz="0" w:space="0" w:color="auto"/>
            <w:left w:val="none" w:sz="0" w:space="0" w:color="auto"/>
            <w:bottom w:val="none" w:sz="0" w:space="0" w:color="auto"/>
            <w:right w:val="none" w:sz="0" w:space="0" w:color="auto"/>
          </w:divBdr>
          <w:divsChild>
            <w:div w:id="1934241816">
              <w:marLeft w:val="0"/>
              <w:marRight w:val="0"/>
              <w:marTop w:val="0"/>
              <w:marBottom w:val="0"/>
              <w:divBdr>
                <w:top w:val="none" w:sz="0" w:space="0" w:color="auto"/>
                <w:left w:val="none" w:sz="0" w:space="0" w:color="auto"/>
                <w:bottom w:val="none" w:sz="0" w:space="0" w:color="auto"/>
                <w:right w:val="none" w:sz="0" w:space="0" w:color="auto"/>
              </w:divBdr>
              <w:divsChild>
                <w:div w:id="18987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38918">
      <w:bodyDiv w:val="1"/>
      <w:marLeft w:val="0"/>
      <w:marRight w:val="0"/>
      <w:marTop w:val="0"/>
      <w:marBottom w:val="0"/>
      <w:divBdr>
        <w:top w:val="none" w:sz="0" w:space="0" w:color="auto"/>
        <w:left w:val="none" w:sz="0" w:space="0" w:color="auto"/>
        <w:bottom w:val="none" w:sz="0" w:space="0" w:color="auto"/>
        <w:right w:val="none" w:sz="0" w:space="0" w:color="auto"/>
      </w:divBdr>
      <w:divsChild>
        <w:div w:id="193881697">
          <w:marLeft w:val="0"/>
          <w:marRight w:val="0"/>
          <w:marTop w:val="0"/>
          <w:marBottom w:val="0"/>
          <w:divBdr>
            <w:top w:val="none" w:sz="0" w:space="0" w:color="auto"/>
            <w:left w:val="none" w:sz="0" w:space="0" w:color="auto"/>
            <w:bottom w:val="none" w:sz="0" w:space="0" w:color="auto"/>
            <w:right w:val="none" w:sz="0" w:space="0" w:color="auto"/>
          </w:divBdr>
          <w:divsChild>
            <w:div w:id="1233081193">
              <w:marLeft w:val="0"/>
              <w:marRight w:val="0"/>
              <w:marTop w:val="0"/>
              <w:marBottom w:val="0"/>
              <w:divBdr>
                <w:top w:val="none" w:sz="0" w:space="0" w:color="auto"/>
                <w:left w:val="none" w:sz="0" w:space="0" w:color="auto"/>
                <w:bottom w:val="none" w:sz="0" w:space="0" w:color="auto"/>
                <w:right w:val="none" w:sz="0" w:space="0" w:color="auto"/>
              </w:divBdr>
              <w:divsChild>
                <w:div w:id="1316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99814">
      <w:bodyDiv w:val="1"/>
      <w:marLeft w:val="0"/>
      <w:marRight w:val="0"/>
      <w:marTop w:val="0"/>
      <w:marBottom w:val="0"/>
      <w:divBdr>
        <w:top w:val="none" w:sz="0" w:space="0" w:color="auto"/>
        <w:left w:val="none" w:sz="0" w:space="0" w:color="auto"/>
        <w:bottom w:val="none" w:sz="0" w:space="0" w:color="auto"/>
        <w:right w:val="none" w:sz="0" w:space="0" w:color="auto"/>
      </w:divBdr>
      <w:divsChild>
        <w:div w:id="1666784600">
          <w:marLeft w:val="0"/>
          <w:marRight w:val="0"/>
          <w:marTop w:val="0"/>
          <w:marBottom w:val="0"/>
          <w:divBdr>
            <w:top w:val="none" w:sz="0" w:space="0" w:color="auto"/>
            <w:left w:val="none" w:sz="0" w:space="0" w:color="auto"/>
            <w:bottom w:val="none" w:sz="0" w:space="0" w:color="auto"/>
            <w:right w:val="none" w:sz="0" w:space="0" w:color="auto"/>
          </w:divBdr>
          <w:divsChild>
            <w:div w:id="1916236100">
              <w:marLeft w:val="0"/>
              <w:marRight w:val="0"/>
              <w:marTop w:val="0"/>
              <w:marBottom w:val="0"/>
              <w:divBdr>
                <w:top w:val="none" w:sz="0" w:space="0" w:color="auto"/>
                <w:left w:val="none" w:sz="0" w:space="0" w:color="auto"/>
                <w:bottom w:val="none" w:sz="0" w:space="0" w:color="auto"/>
                <w:right w:val="none" w:sz="0" w:space="0" w:color="auto"/>
              </w:divBdr>
              <w:divsChild>
                <w:div w:id="1643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72">
      <w:bodyDiv w:val="1"/>
      <w:marLeft w:val="0"/>
      <w:marRight w:val="0"/>
      <w:marTop w:val="0"/>
      <w:marBottom w:val="0"/>
      <w:divBdr>
        <w:top w:val="none" w:sz="0" w:space="0" w:color="auto"/>
        <w:left w:val="none" w:sz="0" w:space="0" w:color="auto"/>
        <w:bottom w:val="none" w:sz="0" w:space="0" w:color="auto"/>
        <w:right w:val="none" w:sz="0" w:space="0" w:color="auto"/>
      </w:divBdr>
      <w:divsChild>
        <w:div w:id="1027634426">
          <w:marLeft w:val="0"/>
          <w:marRight w:val="0"/>
          <w:marTop w:val="0"/>
          <w:marBottom w:val="0"/>
          <w:divBdr>
            <w:top w:val="none" w:sz="0" w:space="0" w:color="auto"/>
            <w:left w:val="none" w:sz="0" w:space="0" w:color="auto"/>
            <w:bottom w:val="none" w:sz="0" w:space="0" w:color="auto"/>
            <w:right w:val="none" w:sz="0" w:space="0" w:color="auto"/>
          </w:divBdr>
          <w:divsChild>
            <w:div w:id="1282999935">
              <w:marLeft w:val="0"/>
              <w:marRight w:val="0"/>
              <w:marTop w:val="0"/>
              <w:marBottom w:val="0"/>
              <w:divBdr>
                <w:top w:val="none" w:sz="0" w:space="0" w:color="auto"/>
                <w:left w:val="none" w:sz="0" w:space="0" w:color="auto"/>
                <w:bottom w:val="none" w:sz="0" w:space="0" w:color="auto"/>
                <w:right w:val="none" w:sz="0" w:space="0" w:color="auto"/>
              </w:divBdr>
              <w:divsChild>
                <w:div w:id="1297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42006">
      <w:bodyDiv w:val="1"/>
      <w:marLeft w:val="0"/>
      <w:marRight w:val="0"/>
      <w:marTop w:val="0"/>
      <w:marBottom w:val="0"/>
      <w:divBdr>
        <w:top w:val="none" w:sz="0" w:space="0" w:color="auto"/>
        <w:left w:val="none" w:sz="0" w:space="0" w:color="auto"/>
        <w:bottom w:val="none" w:sz="0" w:space="0" w:color="auto"/>
        <w:right w:val="none" w:sz="0" w:space="0" w:color="auto"/>
      </w:divBdr>
      <w:divsChild>
        <w:div w:id="368602465">
          <w:marLeft w:val="0"/>
          <w:marRight w:val="0"/>
          <w:marTop w:val="0"/>
          <w:marBottom w:val="0"/>
          <w:divBdr>
            <w:top w:val="none" w:sz="0" w:space="0" w:color="auto"/>
            <w:left w:val="none" w:sz="0" w:space="0" w:color="auto"/>
            <w:bottom w:val="none" w:sz="0" w:space="0" w:color="auto"/>
            <w:right w:val="none" w:sz="0" w:space="0" w:color="auto"/>
          </w:divBdr>
          <w:divsChild>
            <w:div w:id="1371565785">
              <w:marLeft w:val="0"/>
              <w:marRight w:val="0"/>
              <w:marTop w:val="0"/>
              <w:marBottom w:val="0"/>
              <w:divBdr>
                <w:top w:val="none" w:sz="0" w:space="0" w:color="auto"/>
                <w:left w:val="none" w:sz="0" w:space="0" w:color="auto"/>
                <w:bottom w:val="none" w:sz="0" w:space="0" w:color="auto"/>
                <w:right w:val="none" w:sz="0" w:space="0" w:color="auto"/>
              </w:divBdr>
              <w:divsChild>
                <w:div w:id="20677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5754">
      <w:bodyDiv w:val="1"/>
      <w:marLeft w:val="0"/>
      <w:marRight w:val="0"/>
      <w:marTop w:val="0"/>
      <w:marBottom w:val="0"/>
      <w:divBdr>
        <w:top w:val="none" w:sz="0" w:space="0" w:color="auto"/>
        <w:left w:val="none" w:sz="0" w:space="0" w:color="auto"/>
        <w:bottom w:val="none" w:sz="0" w:space="0" w:color="auto"/>
        <w:right w:val="none" w:sz="0" w:space="0" w:color="auto"/>
      </w:divBdr>
      <w:divsChild>
        <w:div w:id="2066758449">
          <w:marLeft w:val="0"/>
          <w:marRight w:val="0"/>
          <w:marTop w:val="0"/>
          <w:marBottom w:val="0"/>
          <w:divBdr>
            <w:top w:val="none" w:sz="0" w:space="0" w:color="auto"/>
            <w:left w:val="none" w:sz="0" w:space="0" w:color="auto"/>
            <w:bottom w:val="none" w:sz="0" w:space="0" w:color="auto"/>
            <w:right w:val="none" w:sz="0" w:space="0" w:color="auto"/>
          </w:divBdr>
          <w:divsChild>
            <w:div w:id="1451166714">
              <w:marLeft w:val="0"/>
              <w:marRight w:val="0"/>
              <w:marTop w:val="0"/>
              <w:marBottom w:val="0"/>
              <w:divBdr>
                <w:top w:val="none" w:sz="0" w:space="0" w:color="auto"/>
                <w:left w:val="none" w:sz="0" w:space="0" w:color="auto"/>
                <w:bottom w:val="none" w:sz="0" w:space="0" w:color="auto"/>
                <w:right w:val="none" w:sz="0" w:space="0" w:color="auto"/>
              </w:divBdr>
              <w:divsChild>
                <w:div w:id="3889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7473">
      <w:bodyDiv w:val="1"/>
      <w:marLeft w:val="0"/>
      <w:marRight w:val="0"/>
      <w:marTop w:val="0"/>
      <w:marBottom w:val="0"/>
      <w:divBdr>
        <w:top w:val="none" w:sz="0" w:space="0" w:color="auto"/>
        <w:left w:val="none" w:sz="0" w:space="0" w:color="auto"/>
        <w:bottom w:val="none" w:sz="0" w:space="0" w:color="auto"/>
        <w:right w:val="none" w:sz="0" w:space="0" w:color="auto"/>
      </w:divBdr>
      <w:divsChild>
        <w:div w:id="1256090714">
          <w:marLeft w:val="0"/>
          <w:marRight w:val="0"/>
          <w:marTop w:val="0"/>
          <w:marBottom w:val="0"/>
          <w:divBdr>
            <w:top w:val="none" w:sz="0" w:space="0" w:color="auto"/>
            <w:left w:val="none" w:sz="0" w:space="0" w:color="auto"/>
            <w:bottom w:val="none" w:sz="0" w:space="0" w:color="auto"/>
            <w:right w:val="none" w:sz="0" w:space="0" w:color="auto"/>
          </w:divBdr>
          <w:divsChild>
            <w:div w:id="1925987261">
              <w:marLeft w:val="0"/>
              <w:marRight w:val="0"/>
              <w:marTop w:val="0"/>
              <w:marBottom w:val="0"/>
              <w:divBdr>
                <w:top w:val="none" w:sz="0" w:space="0" w:color="auto"/>
                <w:left w:val="none" w:sz="0" w:space="0" w:color="auto"/>
                <w:bottom w:val="none" w:sz="0" w:space="0" w:color="auto"/>
                <w:right w:val="none" w:sz="0" w:space="0" w:color="auto"/>
              </w:divBdr>
              <w:divsChild>
                <w:div w:id="32536581">
                  <w:marLeft w:val="0"/>
                  <w:marRight w:val="0"/>
                  <w:marTop w:val="0"/>
                  <w:marBottom w:val="0"/>
                  <w:divBdr>
                    <w:top w:val="none" w:sz="0" w:space="0" w:color="auto"/>
                    <w:left w:val="none" w:sz="0" w:space="0" w:color="auto"/>
                    <w:bottom w:val="none" w:sz="0" w:space="0" w:color="auto"/>
                    <w:right w:val="none" w:sz="0" w:space="0" w:color="auto"/>
                  </w:divBdr>
                </w:div>
              </w:divsChild>
            </w:div>
            <w:div w:id="319424641">
              <w:marLeft w:val="0"/>
              <w:marRight w:val="0"/>
              <w:marTop w:val="0"/>
              <w:marBottom w:val="0"/>
              <w:divBdr>
                <w:top w:val="none" w:sz="0" w:space="0" w:color="auto"/>
                <w:left w:val="none" w:sz="0" w:space="0" w:color="auto"/>
                <w:bottom w:val="none" w:sz="0" w:space="0" w:color="auto"/>
                <w:right w:val="none" w:sz="0" w:space="0" w:color="auto"/>
              </w:divBdr>
              <w:divsChild>
                <w:div w:id="13140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112">
          <w:marLeft w:val="0"/>
          <w:marRight w:val="0"/>
          <w:marTop w:val="0"/>
          <w:marBottom w:val="0"/>
          <w:divBdr>
            <w:top w:val="none" w:sz="0" w:space="0" w:color="auto"/>
            <w:left w:val="none" w:sz="0" w:space="0" w:color="auto"/>
            <w:bottom w:val="none" w:sz="0" w:space="0" w:color="auto"/>
            <w:right w:val="none" w:sz="0" w:space="0" w:color="auto"/>
          </w:divBdr>
          <w:divsChild>
            <w:div w:id="637689504">
              <w:marLeft w:val="0"/>
              <w:marRight w:val="0"/>
              <w:marTop w:val="0"/>
              <w:marBottom w:val="0"/>
              <w:divBdr>
                <w:top w:val="none" w:sz="0" w:space="0" w:color="auto"/>
                <w:left w:val="none" w:sz="0" w:space="0" w:color="auto"/>
                <w:bottom w:val="none" w:sz="0" w:space="0" w:color="auto"/>
                <w:right w:val="none" w:sz="0" w:space="0" w:color="auto"/>
              </w:divBdr>
              <w:divsChild>
                <w:div w:id="2739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4571">
      <w:bodyDiv w:val="1"/>
      <w:marLeft w:val="0"/>
      <w:marRight w:val="0"/>
      <w:marTop w:val="0"/>
      <w:marBottom w:val="0"/>
      <w:divBdr>
        <w:top w:val="none" w:sz="0" w:space="0" w:color="auto"/>
        <w:left w:val="none" w:sz="0" w:space="0" w:color="auto"/>
        <w:bottom w:val="none" w:sz="0" w:space="0" w:color="auto"/>
        <w:right w:val="none" w:sz="0" w:space="0" w:color="auto"/>
      </w:divBdr>
      <w:divsChild>
        <w:div w:id="1909460148">
          <w:marLeft w:val="0"/>
          <w:marRight w:val="0"/>
          <w:marTop w:val="0"/>
          <w:marBottom w:val="0"/>
          <w:divBdr>
            <w:top w:val="none" w:sz="0" w:space="0" w:color="auto"/>
            <w:left w:val="none" w:sz="0" w:space="0" w:color="auto"/>
            <w:bottom w:val="none" w:sz="0" w:space="0" w:color="auto"/>
            <w:right w:val="none" w:sz="0" w:space="0" w:color="auto"/>
          </w:divBdr>
          <w:divsChild>
            <w:div w:id="1779518152">
              <w:marLeft w:val="0"/>
              <w:marRight w:val="0"/>
              <w:marTop w:val="0"/>
              <w:marBottom w:val="0"/>
              <w:divBdr>
                <w:top w:val="none" w:sz="0" w:space="0" w:color="auto"/>
                <w:left w:val="none" w:sz="0" w:space="0" w:color="auto"/>
                <w:bottom w:val="none" w:sz="0" w:space="0" w:color="auto"/>
                <w:right w:val="none" w:sz="0" w:space="0" w:color="auto"/>
              </w:divBdr>
              <w:divsChild>
                <w:div w:id="7110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0046">
      <w:bodyDiv w:val="1"/>
      <w:marLeft w:val="0"/>
      <w:marRight w:val="0"/>
      <w:marTop w:val="0"/>
      <w:marBottom w:val="0"/>
      <w:divBdr>
        <w:top w:val="none" w:sz="0" w:space="0" w:color="auto"/>
        <w:left w:val="none" w:sz="0" w:space="0" w:color="auto"/>
        <w:bottom w:val="none" w:sz="0" w:space="0" w:color="auto"/>
        <w:right w:val="none" w:sz="0" w:space="0" w:color="auto"/>
      </w:divBdr>
      <w:divsChild>
        <w:div w:id="51320047">
          <w:marLeft w:val="0"/>
          <w:marRight w:val="0"/>
          <w:marTop w:val="0"/>
          <w:marBottom w:val="0"/>
          <w:divBdr>
            <w:top w:val="none" w:sz="0" w:space="0" w:color="auto"/>
            <w:left w:val="none" w:sz="0" w:space="0" w:color="auto"/>
            <w:bottom w:val="none" w:sz="0" w:space="0" w:color="auto"/>
            <w:right w:val="none" w:sz="0" w:space="0" w:color="auto"/>
          </w:divBdr>
          <w:divsChild>
            <w:div w:id="67919515">
              <w:marLeft w:val="0"/>
              <w:marRight w:val="0"/>
              <w:marTop w:val="0"/>
              <w:marBottom w:val="0"/>
              <w:divBdr>
                <w:top w:val="none" w:sz="0" w:space="0" w:color="auto"/>
                <w:left w:val="none" w:sz="0" w:space="0" w:color="auto"/>
                <w:bottom w:val="none" w:sz="0" w:space="0" w:color="auto"/>
                <w:right w:val="none" w:sz="0" w:space="0" w:color="auto"/>
              </w:divBdr>
              <w:divsChild>
                <w:div w:id="1907261099">
                  <w:marLeft w:val="0"/>
                  <w:marRight w:val="0"/>
                  <w:marTop w:val="0"/>
                  <w:marBottom w:val="0"/>
                  <w:divBdr>
                    <w:top w:val="none" w:sz="0" w:space="0" w:color="auto"/>
                    <w:left w:val="none" w:sz="0" w:space="0" w:color="auto"/>
                    <w:bottom w:val="none" w:sz="0" w:space="0" w:color="auto"/>
                    <w:right w:val="none" w:sz="0" w:space="0" w:color="auto"/>
                  </w:divBdr>
                </w:div>
              </w:divsChild>
            </w:div>
            <w:div w:id="1917089580">
              <w:marLeft w:val="0"/>
              <w:marRight w:val="0"/>
              <w:marTop w:val="0"/>
              <w:marBottom w:val="0"/>
              <w:divBdr>
                <w:top w:val="none" w:sz="0" w:space="0" w:color="auto"/>
                <w:left w:val="none" w:sz="0" w:space="0" w:color="auto"/>
                <w:bottom w:val="none" w:sz="0" w:space="0" w:color="auto"/>
                <w:right w:val="none" w:sz="0" w:space="0" w:color="auto"/>
              </w:divBdr>
              <w:divsChild>
                <w:div w:id="3319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0291">
          <w:marLeft w:val="0"/>
          <w:marRight w:val="0"/>
          <w:marTop w:val="0"/>
          <w:marBottom w:val="0"/>
          <w:divBdr>
            <w:top w:val="none" w:sz="0" w:space="0" w:color="auto"/>
            <w:left w:val="none" w:sz="0" w:space="0" w:color="auto"/>
            <w:bottom w:val="none" w:sz="0" w:space="0" w:color="auto"/>
            <w:right w:val="none" w:sz="0" w:space="0" w:color="auto"/>
          </w:divBdr>
          <w:divsChild>
            <w:div w:id="604770265">
              <w:marLeft w:val="0"/>
              <w:marRight w:val="0"/>
              <w:marTop w:val="0"/>
              <w:marBottom w:val="0"/>
              <w:divBdr>
                <w:top w:val="none" w:sz="0" w:space="0" w:color="auto"/>
                <w:left w:val="none" w:sz="0" w:space="0" w:color="auto"/>
                <w:bottom w:val="none" w:sz="0" w:space="0" w:color="auto"/>
                <w:right w:val="none" w:sz="0" w:space="0" w:color="auto"/>
              </w:divBdr>
              <w:divsChild>
                <w:div w:id="20395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69893">
      <w:bodyDiv w:val="1"/>
      <w:marLeft w:val="0"/>
      <w:marRight w:val="0"/>
      <w:marTop w:val="0"/>
      <w:marBottom w:val="0"/>
      <w:divBdr>
        <w:top w:val="none" w:sz="0" w:space="0" w:color="auto"/>
        <w:left w:val="none" w:sz="0" w:space="0" w:color="auto"/>
        <w:bottom w:val="none" w:sz="0" w:space="0" w:color="auto"/>
        <w:right w:val="none" w:sz="0" w:space="0" w:color="auto"/>
      </w:divBdr>
      <w:divsChild>
        <w:div w:id="226694421">
          <w:marLeft w:val="0"/>
          <w:marRight w:val="0"/>
          <w:marTop w:val="0"/>
          <w:marBottom w:val="0"/>
          <w:divBdr>
            <w:top w:val="none" w:sz="0" w:space="0" w:color="auto"/>
            <w:left w:val="none" w:sz="0" w:space="0" w:color="auto"/>
            <w:bottom w:val="none" w:sz="0" w:space="0" w:color="auto"/>
            <w:right w:val="none" w:sz="0" w:space="0" w:color="auto"/>
          </w:divBdr>
          <w:divsChild>
            <w:div w:id="891766409">
              <w:marLeft w:val="0"/>
              <w:marRight w:val="0"/>
              <w:marTop w:val="0"/>
              <w:marBottom w:val="0"/>
              <w:divBdr>
                <w:top w:val="none" w:sz="0" w:space="0" w:color="auto"/>
                <w:left w:val="none" w:sz="0" w:space="0" w:color="auto"/>
                <w:bottom w:val="none" w:sz="0" w:space="0" w:color="auto"/>
                <w:right w:val="none" w:sz="0" w:space="0" w:color="auto"/>
              </w:divBdr>
              <w:divsChild>
                <w:div w:id="17797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9610">
      <w:bodyDiv w:val="1"/>
      <w:marLeft w:val="0"/>
      <w:marRight w:val="0"/>
      <w:marTop w:val="0"/>
      <w:marBottom w:val="0"/>
      <w:divBdr>
        <w:top w:val="none" w:sz="0" w:space="0" w:color="auto"/>
        <w:left w:val="none" w:sz="0" w:space="0" w:color="auto"/>
        <w:bottom w:val="none" w:sz="0" w:space="0" w:color="auto"/>
        <w:right w:val="none" w:sz="0" w:space="0" w:color="auto"/>
      </w:divBdr>
      <w:divsChild>
        <w:div w:id="1259097173">
          <w:marLeft w:val="0"/>
          <w:marRight w:val="0"/>
          <w:marTop w:val="0"/>
          <w:marBottom w:val="0"/>
          <w:divBdr>
            <w:top w:val="none" w:sz="0" w:space="0" w:color="auto"/>
            <w:left w:val="none" w:sz="0" w:space="0" w:color="auto"/>
            <w:bottom w:val="none" w:sz="0" w:space="0" w:color="auto"/>
            <w:right w:val="none" w:sz="0" w:space="0" w:color="auto"/>
          </w:divBdr>
          <w:divsChild>
            <w:div w:id="1891768957">
              <w:marLeft w:val="0"/>
              <w:marRight w:val="0"/>
              <w:marTop w:val="0"/>
              <w:marBottom w:val="0"/>
              <w:divBdr>
                <w:top w:val="none" w:sz="0" w:space="0" w:color="auto"/>
                <w:left w:val="none" w:sz="0" w:space="0" w:color="auto"/>
                <w:bottom w:val="none" w:sz="0" w:space="0" w:color="auto"/>
                <w:right w:val="none" w:sz="0" w:space="0" w:color="auto"/>
              </w:divBdr>
              <w:divsChild>
                <w:div w:id="14517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18903">
      <w:bodyDiv w:val="1"/>
      <w:marLeft w:val="0"/>
      <w:marRight w:val="0"/>
      <w:marTop w:val="0"/>
      <w:marBottom w:val="0"/>
      <w:divBdr>
        <w:top w:val="none" w:sz="0" w:space="0" w:color="auto"/>
        <w:left w:val="none" w:sz="0" w:space="0" w:color="auto"/>
        <w:bottom w:val="none" w:sz="0" w:space="0" w:color="auto"/>
        <w:right w:val="none" w:sz="0" w:space="0" w:color="auto"/>
      </w:divBdr>
      <w:divsChild>
        <w:div w:id="1086340590">
          <w:marLeft w:val="0"/>
          <w:marRight w:val="0"/>
          <w:marTop w:val="0"/>
          <w:marBottom w:val="0"/>
          <w:divBdr>
            <w:top w:val="none" w:sz="0" w:space="0" w:color="auto"/>
            <w:left w:val="none" w:sz="0" w:space="0" w:color="auto"/>
            <w:bottom w:val="none" w:sz="0" w:space="0" w:color="auto"/>
            <w:right w:val="none" w:sz="0" w:space="0" w:color="auto"/>
          </w:divBdr>
          <w:divsChild>
            <w:div w:id="2068262670">
              <w:marLeft w:val="0"/>
              <w:marRight w:val="0"/>
              <w:marTop w:val="0"/>
              <w:marBottom w:val="0"/>
              <w:divBdr>
                <w:top w:val="none" w:sz="0" w:space="0" w:color="auto"/>
                <w:left w:val="none" w:sz="0" w:space="0" w:color="auto"/>
                <w:bottom w:val="none" w:sz="0" w:space="0" w:color="auto"/>
                <w:right w:val="none" w:sz="0" w:space="0" w:color="auto"/>
              </w:divBdr>
              <w:divsChild>
                <w:div w:id="9907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6940">
      <w:bodyDiv w:val="1"/>
      <w:marLeft w:val="0"/>
      <w:marRight w:val="0"/>
      <w:marTop w:val="0"/>
      <w:marBottom w:val="0"/>
      <w:divBdr>
        <w:top w:val="none" w:sz="0" w:space="0" w:color="auto"/>
        <w:left w:val="none" w:sz="0" w:space="0" w:color="auto"/>
        <w:bottom w:val="none" w:sz="0" w:space="0" w:color="auto"/>
        <w:right w:val="none" w:sz="0" w:space="0" w:color="auto"/>
      </w:divBdr>
      <w:divsChild>
        <w:div w:id="1763530030">
          <w:marLeft w:val="0"/>
          <w:marRight w:val="0"/>
          <w:marTop w:val="0"/>
          <w:marBottom w:val="0"/>
          <w:divBdr>
            <w:top w:val="none" w:sz="0" w:space="0" w:color="auto"/>
            <w:left w:val="none" w:sz="0" w:space="0" w:color="auto"/>
            <w:bottom w:val="none" w:sz="0" w:space="0" w:color="auto"/>
            <w:right w:val="none" w:sz="0" w:space="0" w:color="auto"/>
          </w:divBdr>
          <w:divsChild>
            <w:div w:id="715467755">
              <w:marLeft w:val="0"/>
              <w:marRight w:val="0"/>
              <w:marTop w:val="0"/>
              <w:marBottom w:val="0"/>
              <w:divBdr>
                <w:top w:val="none" w:sz="0" w:space="0" w:color="auto"/>
                <w:left w:val="none" w:sz="0" w:space="0" w:color="auto"/>
                <w:bottom w:val="none" w:sz="0" w:space="0" w:color="auto"/>
                <w:right w:val="none" w:sz="0" w:space="0" w:color="auto"/>
              </w:divBdr>
              <w:divsChild>
                <w:div w:id="938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51926">
      <w:bodyDiv w:val="1"/>
      <w:marLeft w:val="0"/>
      <w:marRight w:val="0"/>
      <w:marTop w:val="0"/>
      <w:marBottom w:val="0"/>
      <w:divBdr>
        <w:top w:val="none" w:sz="0" w:space="0" w:color="auto"/>
        <w:left w:val="none" w:sz="0" w:space="0" w:color="auto"/>
        <w:bottom w:val="none" w:sz="0" w:space="0" w:color="auto"/>
        <w:right w:val="none" w:sz="0" w:space="0" w:color="auto"/>
      </w:divBdr>
    </w:div>
    <w:div w:id="2122801010">
      <w:bodyDiv w:val="1"/>
      <w:marLeft w:val="0"/>
      <w:marRight w:val="0"/>
      <w:marTop w:val="0"/>
      <w:marBottom w:val="0"/>
      <w:divBdr>
        <w:top w:val="none" w:sz="0" w:space="0" w:color="auto"/>
        <w:left w:val="none" w:sz="0" w:space="0" w:color="auto"/>
        <w:bottom w:val="none" w:sz="0" w:space="0" w:color="auto"/>
        <w:right w:val="none" w:sz="0" w:space="0" w:color="auto"/>
      </w:divBdr>
      <w:divsChild>
        <w:div w:id="68501345">
          <w:marLeft w:val="0"/>
          <w:marRight w:val="0"/>
          <w:marTop w:val="0"/>
          <w:marBottom w:val="0"/>
          <w:divBdr>
            <w:top w:val="none" w:sz="0" w:space="0" w:color="auto"/>
            <w:left w:val="none" w:sz="0" w:space="0" w:color="auto"/>
            <w:bottom w:val="none" w:sz="0" w:space="0" w:color="auto"/>
            <w:right w:val="none" w:sz="0" w:space="0" w:color="auto"/>
          </w:divBdr>
          <w:divsChild>
            <w:div w:id="657851916">
              <w:marLeft w:val="0"/>
              <w:marRight w:val="0"/>
              <w:marTop w:val="0"/>
              <w:marBottom w:val="0"/>
              <w:divBdr>
                <w:top w:val="none" w:sz="0" w:space="0" w:color="auto"/>
                <w:left w:val="none" w:sz="0" w:space="0" w:color="auto"/>
                <w:bottom w:val="none" w:sz="0" w:space="0" w:color="auto"/>
                <w:right w:val="none" w:sz="0" w:space="0" w:color="auto"/>
              </w:divBdr>
              <w:divsChild>
                <w:div w:id="17946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5242">
      <w:bodyDiv w:val="1"/>
      <w:marLeft w:val="0"/>
      <w:marRight w:val="0"/>
      <w:marTop w:val="0"/>
      <w:marBottom w:val="0"/>
      <w:divBdr>
        <w:top w:val="none" w:sz="0" w:space="0" w:color="auto"/>
        <w:left w:val="none" w:sz="0" w:space="0" w:color="auto"/>
        <w:bottom w:val="none" w:sz="0" w:space="0" w:color="auto"/>
        <w:right w:val="none" w:sz="0" w:space="0" w:color="auto"/>
      </w:divBdr>
      <w:divsChild>
        <w:div w:id="1778909537">
          <w:marLeft w:val="0"/>
          <w:marRight w:val="0"/>
          <w:marTop w:val="0"/>
          <w:marBottom w:val="0"/>
          <w:divBdr>
            <w:top w:val="none" w:sz="0" w:space="0" w:color="auto"/>
            <w:left w:val="none" w:sz="0" w:space="0" w:color="auto"/>
            <w:bottom w:val="none" w:sz="0" w:space="0" w:color="auto"/>
            <w:right w:val="none" w:sz="0" w:space="0" w:color="auto"/>
          </w:divBdr>
          <w:divsChild>
            <w:div w:id="1557397710">
              <w:marLeft w:val="0"/>
              <w:marRight w:val="0"/>
              <w:marTop w:val="0"/>
              <w:marBottom w:val="0"/>
              <w:divBdr>
                <w:top w:val="none" w:sz="0" w:space="0" w:color="auto"/>
                <w:left w:val="none" w:sz="0" w:space="0" w:color="auto"/>
                <w:bottom w:val="none" w:sz="0" w:space="0" w:color="auto"/>
                <w:right w:val="none" w:sz="0" w:space="0" w:color="auto"/>
              </w:divBdr>
              <w:divsChild>
                <w:div w:id="16916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9D45-51C0-A74F-93E4-7B07077423D1}">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Razieh Chegeni</dc:creator>
  <cp:keywords/>
  <dc:description/>
  <cp:lastModifiedBy>Razieh Chegeni</cp:lastModifiedBy>
  <cp:revision>4</cp:revision>
  <dcterms:created xsi:type="dcterms:W3CDTF">2025-05-28T12:51:00Z</dcterms:created>
  <dcterms:modified xsi:type="dcterms:W3CDTF">2025-06-10T10:08:00Z</dcterms:modified>
</cp:coreProperties>
</file>