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1A8F">
      <w:pPr>
        <w:spacing w:line="360" w:lineRule="auto"/>
        <w:ind w:left="482" w:hanging="400" w:hangingChars="200"/>
        <w:rPr>
          <w:rFonts w:hint="default" w:ascii="Times New Roman Regular" w:hAnsi="Times New Roman Regular" w:cs="Times New Roman Regular"/>
          <w:sz w:val="20"/>
          <w:szCs w:val="20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Materials and Methods</w:t>
      </w:r>
    </w:p>
    <w:p w14:paraId="6847C52D"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Materials</w:t>
      </w:r>
    </w:p>
    <w:p w14:paraId="24643866">
      <w:pPr>
        <w:ind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Italic" w:hAnsi="Times New Roman Italic" w:cs="Times New Roman Italic"/>
          <w:i/>
          <w:iCs/>
          <w:sz w:val="20"/>
          <w:szCs w:val="20"/>
        </w:rPr>
        <w:t>E. coli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DH5α and BL21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(DE3) competent cells were purchased from Beijing Biomed Gene Technology Co., Ltd.. The pMM-LR6 vector was kindly provided by Professor Blacklow SC from Harvard Medical School. Kanamycin and trifluoroacetic acid (TFA) were supplied by Shanghai Macklin Biochemical Technology Co., Ltd., and isopropyl-β-Dthiogalactoside (IPTG) by BioFroxx. Ni-NTA resin (L00666) was obtained from GenScript Biotech Corporation. Cyanogen bromide was sourced from Shanghai Aladdin Biochemical Technology Co., Ltd.. Chromatography-grade acetonitrile and isopropanol were from Beijing Merida Technology Co., Ltd.. </w:t>
      </w: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</w:rPr>
        <w:t>15</w:t>
      </w:r>
      <w:r>
        <w:rPr>
          <w:rFonts w:hint="default" w:ascii="Times New Roman Regular" w:hAnsi="Times New Roman Regular" w:cs="Times New Roman Regular"/>
          <w:sz w:val="20"/>
          <w:szCs w:val="20"/>
        </w:rPr>
        <w:t>NH</w:t>
      </w: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</w:rPr>
        <w:t>4</w:t>
      </w:r>
      <w:r>
        <w:rPr>
          <w:rFonts w:hint="default" w:ascii="Times New Roman Regular" w:hAnsi="Times New Roman Regular" w:cs="Times New Roman Regular"/>
          <w:sz w:val="20"/>
          <w:szCs w:val="20"/>
        </w:rPr>
        <w:t>Cl and D</w:t>
      </w:r>
      <w:r>
        <w:rPr>
          <w:rFonts w:hint="default" w:ascii="Times New Roman Regular" w:hAnsi="Times New Roman Regular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cs="Times New Roman Regular"/>
          <w:sz w:val="20"/>
          <w:szCs w:val="20"/>
        </w:rPr>
        <w:t>O were purchased from Cambridge Isotope Laboratories. Phospholipids 1,2-dimyristoyl-sn-glycero-3-phosphocholine (DMPC) and 1,2-dihexanoyl-sn-glycero-3-phosphocholine (DHPC) were supplied by Avanti Polar Lipids, and Fos-choline-14 (Fos-14) by Anatrace. All other reagents were of analytical grade and obtained from local sources unless otherwise specified.</w:t>
      </w:r>
    </w:p>
    <w:p w14:paraId="33D46DDB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Construction of recombinant plasmid</w:t>
      </w:r>
    </w:p>
    <w:p w14:paraId="77874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The nucleotide sequence encoding residues 1-32 of human FATP3 (UniProt Q8N163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: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MAALLLLPLLLLLPLLLLKLHLWPQLRWLPAD) was codon-optimized for </w:t>
      </w:r>
      <w:r>
        <w:rPr>
          <w:rFonts w:hint="default" w:ascii="Times New Roman Regular" w:hAnsi="Times New Roman Regular" w:cs="Times New Roman Regular"/>
          <w:i/>
          <w:sz w:val="20"/>
          <w:szCs w:val="20"/>
        </w:rPr>
        <w:t>E. coli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expression, Synthesized de novo, and subcloned into the pMM-LR6 vector to generate the recombinant expression plasmid pMM-LR6-FATP3-TMD.</w:t>
      </w:r>
    </w:p>
    <w:p w14:paraId="1C6322B4"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Protein expression and isotopic labeling</w:t>
      </w:r>
    </w:p>
    <w:p w14:paraId="223706DE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i/>
          <w:sz w:val="20"/>
          <w:szCs w:val="20"/>
        </w:rPr>
        <w:t xml:space="preserve">E. coli </w:t>
      </w:r>
      <w:r>
        <w:rPr>
          <w:rFonts w:hint="default" w:ascii="Times New Roman Regular" w:hAnsi="Times New Roman Regular" w:cs="Times New Roman Regular"/>
          <w:sz w:val="20"/>
          <w:szCs w:val="20"/>
        </w:rPr>
        <w:t>BL21(DE3) cells harbouring pMM-LR6-FATP3-TMD were grown overnight in LB medium (50 µg/mL kanamycin) at 37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and 220 rpm. The overnight culture was harvested (4 000 × g, 30 min, 4 </w:t>
      </w:r>
      <w:r>
        <w:rPr>
          <w:rFonts w:hint="default" w:ascii="Times New Roman Regular" w:hAnsi="Times New Roman Regular" w:eastAsia="宋体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>), resuspended in fresh LB to an initial OD</w:t>
      </w:r>
      <w:r>
        <w:rPr>
          <w:rFonts w:hint="default" w:ascii="Times New Roman Regular" w:hAnsi="Times New Roman Regular" w:cs="Times New Roman Regular"/>
          <w:sz w:val="20"/>
          <w:szCs w:val="20"/>
          <w:vertAlign w:val="subscript"/>
        </w:rPr>
        <w:t>600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of 0.1, and incubated at 37 </w:t>
      </w:r>
      <w:r>
        <w:rPr>
          <w:rFonts w:hint="default" w:ascii="Times New Roman Regular" w:hAnsi="Times New Roman Regular" w:eastAsia="PingFang SC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until the OD</w:t>
      </w:r>
      <w:r>
        <w:rPr>
          <w:rFonts w:hint="default" w:ascii="Times New Roman Regular" w:hAnsi="Times New Roman Regular" w:cs="Times New Roman Regular"/>
          <w:sz w:val="20"/>
          <w:szCs w:val="20"/>
          <w:vertAlign w:val="subscript"/>
        </w:rPr>
        <w:t>600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reached 0.6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-</w:t>
      </w:r>
      <w:r>
        <w:rPr>
          <w:rFonts w:hint="default" w:ascii="Times New Roman Regular" w:hAnsi="Times New Roman Regular" w:cs="Times New Roman Regular"/>
          <w:sz w:val="20"/>
          <w:szCs w:val="20"/>
        </w:rPr>
        <w:t>0.7. After a 20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min ice bath, expression was induced with 0.2 mM IPTG, and the culture was shifted to 20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for 16 hours with shaking at 220 rpm. Cells were collected by centrifugation (4 000 × g, 30 min, 4 </w:t>
      </w:r>
      <w:r>
        <w:rPr>
          <w:rFonts w:hint="default" w:ascii="Times New Roman Regular" w:hAnsi="Times New Roman Regular" w:eastAsia="PingFang SC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), flash-frozen in liquid nitrogen, and stored at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-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80 </w:t>
      </w:r>
      <w:r>
        <w:rPr>
          <w:rFonts w:hint="default" w:ascii="Times New Roman Regular" w:hAnsi="Times New Roman Regular" w:eastAsia="PingFang SC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. Uniformly </w:t>
      </w: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</w:rPr>
        <w:t>15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N labeled FATP3-TMD was produced under identical conditions in M9 minimal medium supplemented with </w:t>
      </w: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</w:rPr>
        <w:t>15</w:t>
      </w:r>
      <w:r>
        <w:rPr>
          <w:rFonts w:hint="default" w:ascii="Times New Roman Regular" w:hAnsi="Times New Roman Regular" w:cs="Times New Roman Regular"/>
          <w:sz w:val="20"/>
          <w:szCs w:val="20"/>
        </w:rPr>
        <w:t>NH</w:t>
      </w:r>
      <w:r>
        <w:rPr>
          <w:rFonts w:hint="default" w:ascii="Times New Roman Regular" w:hAnsi="Times New Roman Regular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cs="Times New Roman Regular"/>
          <w:sz w:val="20"/>
          <w:szCs w:val="20"/>
        </w:rPr>
        <w:t>Cl (1 g/L) as the sole nitrogen source.</w:t>
      </w:r>
    </w:p>
    <w:p w14:paraId="340F4452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Protein purification</w:t>
      </w:r>
    </w:p>
    <w:p w14:paraId="48BCD72E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Bacterial pellets were resuspended in lysis buffer (100 mM Tris-HCl, 200 mM NaCl, pH 8.0), disrupted by sonication on ice (250 W, 1.5 s on / 1.5 s off, total 5 min). Soluble fractions were removed by centrifugation (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2</w:t>
      </w:r>
      <w:r>
        <w:rPr>
          <w:rFonts w:hint="default" w:ascii="Times New Roman Regular" w:hAnsi="Times New Roman Regular" w:cs="Times New Roman Regular"/>
          <w:sz w:val="20"/>
          <w:szCs w:val="20"/>
        </w:rPr>
        <w:t>4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000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× g30 min, 4 </w:t>
      </w:r>
      <w:r>
        <w:rPr>
          <w:rFonts w:hint="default" w:ascii="Times New Roman Regular" w:hAnsi="Times New Roman Regular" w:eastAsia="PingFang SC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), and the inclusion-body pellet was retained. </w:t>
      </w:r>
    </w:p>
    <w:p w14:paraId="0F97CDF0">
      <w:pPr>
        <w:ind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The pellet was was solubilized in 6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M guanidine-HCl, 50 mM Tris-HCl, 200 mM NaCl, 1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% (v/v) Triton X-100, pH 8.0. Insoluble material was removed by a second centrifugation step (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2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4 000 × g, 30 min, 4 </w:t>
      </w:r>
      <w:r>
        <w:rPr>
          <w:rFonts w:hint="default" w:ascii="Times New Roman Regular" w:hAnsi="Times New Roman Regular" w:eastAsia="PingFang SC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). </w:t>
      </w:r>
    </w:p>
    <w:p w14:paraId="4DC43BF1">
      <w:pPr>
        <w:ind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The supernatant was incubated with Ni-NTA resin for 1 hour at room temperature. The mixture was transferred to a gravity column, washed sequentially with 10 column volumes (CV) of 8 M urea and 10 CV of ddH</w:t>
      </w:r>
      <w:r>
        <w:rPr>
          <w:rFonts w:hint="default" w:ascii="Times New Roman Regular" w:hAnsi="Times New Roman Regular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cs="Times New Roman Regular"/>
          <w:sz w:val="20"/>
          <w:szCs w:val="20"/>
        </w:rPr>
        <w:t>O. and the bound fusion protein was eluted with 3 CV of 90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% (v/v) formic acid, followed by a 0.5 CV water chase. </w:t>
      </w:r>
    </w:p>
    <w:p w14:paraId="7C3C5886">
      <w:pPr>
        <w:ind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Cyanogen bromide (CNBr) was added to the eluate to a final concentration of 0.2 g/mL. Cleavage was carried out for 1 hour in the dark under a nitrogen atmosphere. The reaction mixture was transferred to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2 kDa MWCO dialysis tubing and dialyzed twice against ultrapure water (1 h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>our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each), then lyophilized. </w:t>
      </w:r>
    </w:p>
    <w:p w14:paraId="321D13ED">
      <w:pPr>
        <w:ind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The dried material was dissolved in 50% (v/v) formic acid, , filtered through a 0.45 μm membrane, then purified by RP-HPLC on a C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3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column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(Agilent, ZORBAX)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using an isopropanol/acetonitrile/water gradient containing 0.1 % trifluoroacetic acid. Fractions containing the target FATP3-TMD were pooled, lyophilised, and stored at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-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20 </w:t>
      </w:r>
      <w:r>
        <w:rPr>
          <w:rFonts w:hint="default" w:ascii="Times New Roman Regular" w:hAnsi="Times New Roman Regular" w:eastAsia="PingFang SC" w:cs="Times New Roman Regular"/>
          <w:sz w:val="20"/>
          <w:szCs w:val="20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>.</w:t>
      </w:r>
    </w:p>
    <w:p w14:paraId="20923FB2"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Mass spectrometry</w:t>
      </w:r>
    </w:p>
    <w:p w14:paraId="25A245EA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The molecular weight of the purified FATP3-TMD was confirmed by matrix-assisted laser desorption/ionisation time-of-flight (MALDI-TOF) mass spectrometry.</w:t>
      </w:r>
    </w:p>
    <w:p w14:paraId="5D60E8F7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Reconstitution</w:t>
      </w:r>
    </w:p>
    <w:p w14:paraId="69D62617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Micelles: 15 mg of Fos-Choline-14 was dissolved in 1 ml of 6 M guanidine in NMR buffer (25 mM MES, pH 6.7). ~ 1 mg of Lyophilized FATP3-TMD was added and gently mixed until fully dissolved. The solution was transferred to a 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</w:rPr>
        <w:t>(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lang w:val="en-US"/>
        </w:rPr>
        <w:t>2</w:t>
      </w:r>
      <w:r>
        <w:rPr>
          <w:rFonts w:hint="eastAsia" w:ascii="Times New Roman Regular" w:hAnsi="Times New Roman Regular" w:cs="Times New Roman Regular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</w:rPr>
        <w:t>K</w:t>
      </w:r>
      <w:r>
        <w:rPr>
          <w:rFonts w:hint="eastAsia" w:ascii="Times New Roman Regular" w:hAnsi="Times New Roman Regular" w:cs="Times New Roman Regular"/>
          <w:sz w:val="20"/>
          <w:szCs w:val="20"/>
          <w:highlight w:val="none"/>
          <w:lang w:val="en-US" w:eastAsia="zh-CN"/>
        </w:rPr>
        <w:t>Da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MWCO dialysis cassette (Thermo Scientific) and dialyzed against detergent-free NMR buffer to allow micelle formation and refolding. The dialysate was concentrated to 300 μl using a 10 kDa MWCO by centrifugation at 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</w:rPr>
        <w:t>1</w:t>
      </w:r>
      <w:r>
        <w:rPr>
          <w:rFonts w:hint="eastAsia" w:ascii="Times New Roman Regular" w:hAnsi="Times New Roman Regular" w:cs="Times New Roman Regular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</w:rPr>
        <w:t>000 g</w:t>
      </w:r>
      <w:r>
        <w:rPr>
          <w:rFonts w:hint="default" w:ascii="Times New Roman Regular" w:hAnsi="Times New Roman Regular" w:cs="Times New Roman Regular"/>
          <w:sz w:val="20"/>
          <w:szCs w:val="20"/>
        </w:rPr>
        <w:t>, and supplemented with 20 μl of D</w:t>
      </w:r>
      <w:r>
        <w:rPr>
          <w:rFonts w:hint="default" w:ascii="Times New Roman Regular" w:hAnsi="Times New Roman Regular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cs="Times New Roman Regular"/>
          <w:sz w:val="20"/>
          <w:szCs w:val="20"/>
        </w:rPr>
        <w:t>O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.</w:t>
      </w:r>
    </w:p>
    <w:p w14:paraId="578042CE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Bicelles: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10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mg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DMPC,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20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mg D6PC, and 1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mg of protein sample were co-dissolved in hexafluoroisopropanol. The solvent was evaporated under gentle nitrogen stream, and the mixture was further dried under vacuum for at least 2 hours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.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The residue was rehydrated in 500 μl of 6 M guanidine in NMR buffer (25 mM MES, pH 6.7), and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dialyzed as above to remove denaturant and allow bicelle assembly. After dialysis, the sample was clarified, concentrated to 300 µl, supplemented with 20 µl of D</w:t>
      </w:r>
      <w:r>
        <w:rPr>
          <w:rFonts w:hint="default" w:ascii="Times New Roman Regular" w:hAnsi="Times New Roman Regular" w:cs="Times New Roman Regular"/>
          <w:sz w:val="20"/>
          <w:szCs w:val="20"/>
          <w:vertAlign w:val="subscript"/>
          <w:lang w:val="en-US"/>
        </w:rPr>
        <w:t>2</w:t>
      </w:r>
      <w:r>
        <w:rPr>
          <w:rFonts w:hint="default" w:ascii="Times New Roman Regular" w:hAnsi="Times New Roman Regular" w:cs="Times New Roman Regular"/>
          <w:sz w:val="20"/>
          <w:szCs w:val="20"/>
        </w:rPr>
        <w:t>O, and transferred to a Shigemi tube for NMR measurements.</w:t>
      </w:r>
    </w:p>
    <w:p w14:paraId="138E4492"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lang w:val="en-US"/>
        </w:rPr>
        <w:t xml:space="preserve">Determine the exact bicelle </w:t>
      </w:r>
      <w:r>
        <w:rPr>
          <w:rFonts w:hint="default" w:ascii="Times New Roman Italic" w:hAnsi="Times New Roman Italic" w:cs="Times New Roman Italic"/>
          <w:i/>
          <w:iCs/>
          <w:sz w:val="20"/>
          <w:szCs w:val="20"/>
          <w:highlight w:val="none"/>
          <w:lang w:val="en-US"/>
        </w:rPr>
        <w:t>q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lang w:val="en-US"/>
        </w:rPr>
        <w:t xml:space="preserve"> of the sample by recording a 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vertAlign w:val="superscript"/>
          <w:lang w:val="en-US"/>
        </w:rPr>
        <w:t>1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lang w:val="en-US"/>
        </w:rPr>
        <w:t>H NMR spectrum. Quantify the relative amounts of DMPC and DH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vertAlign w:val="subscript"/>
          <w:lang w:val="en-US"/>
        </w:rPr>
        <w:t>6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lang w:val="en-US"/>
        </w:rPr>
        <w:t xml:space="preserve">PC (~0.85 and ~0.90 p.p.m., respectively) as the ratio of the integral of their NMR signals. If needed, adjust the </w:t>
      </w:r>
      <w:r>
        <w:rPr>
          <w:rFonts w:hint="default" w:ascii="Times New Roman Italic" w:hAnsi="Times New Roman Italic" w:cs="Times New Roman Italic"/>
          <w:i/>
          <w:iCs/>
          <w:sz w:val="20"/>
          <w:szCs w:val="20"/>
          <w:highlight w:val="none"/>
          <w:lang w:val="en-US"/>
        </w:rPr>
        <w:t>q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lang w:val="en-US"/>
        </w:rPr>
        <w:t xml:space="preserve"> value to the desired value. For example, when the bicelle q is </w:t>
      </w:r>
      <w:r>
        <w:rPr>
          <w:rFonts w:hint="default" w:ascii="Times New Roman Regular" w:hAnsi="Times New Roman Regular" w:eastAsia="PingFang SC" w:cs="Times New Roman Regular"/>
          <w:sz w:val="20"/>
          <w:szCs w:val="20"/>
          <w:highlight w:val="none"/>
          <w:lang w:val="en-US"/>
        </w:rPr>
        <w:t>less than 0.5, it means that the DH</w:t>
      </w:r>
      <w:r>
        <w:rPr>
          <w:rFonts w:hint="default" w:ascii="Times New Roman Regular" w:hAnsi="Times New Roman Regular" w:eastAsia="PingFang SC" w:cs="Times New Roman Regular"/>
          <w:sz w:val="20"/>
          <w:szCs w:val="20"/>
          <w:highlight w:val="none"/>
          <w:vertAlign w:val="subscript"/>
          <w:lang w:val="en-US"/>
        </w:rPr>
        <w:t>6</w:t>
      </w:r>
      <w:r>
        <w:rPr>
          <w:rFonts w:hint="default" w:ascii="Times New Roman Regular" w:hAnsi="Times New Roman Regular" w:eastAsia="PingFang SC" w:cs="Times New Roman Regular"/>
          <w:sz w:val="20"/>
          <w:szCs w:val="20"/>
          <w:highlight w:val="none"/>
          <w:lang w:val="en-US"/>
        </w:rPr>
        <w:t>PC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lang w:val="en-US"/>
        </w:rPr>
        <w:t xml:space="preserve"> content in the sample is too high. Calculate the amount of DHPC present in the sample based on the actual q and the amount of fat used in the experiment. Calculate the DHPC required to achieve q=0.5. Dilute the sample with the NMR buffer (pH 6.7) required to remove excess detergent, knowing that the free [DHPC] in the solution is ~5 mM. Re-measure the "H NMR spectrum" to determine the accurate binuclear molecular weight of the sample.</w:t>
      </w:r>
    </w:p>
    <w:p w14:paraId="6E8FBBBD"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NMR titration experiment</w:t>
      </w:r>
    </w:p>
    <w:p w14:paraId="1B2238E0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</w:rPr>
        <w:t>15</w:t>
      </w:r>
      <w:r>
        <w:rPr>
          <w:rFonts w:hint="default" w:ascii="Times New Roman Regular" w:hAnsi="Times New Roman Regular" w:cs="Times New Roman Regular"/>
          <w:sz w:val="20"/>
          <w:szCs w:val="20"/>
        </w:rPr>
        <w:t>N-</w:t>
      </w: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</w:rPr>
        <w:t>1</w:t>
      </w:r>
      <w:r>
        <w:rPr>
          <w:rFonts w:hint="default" w:ascii="Times New Roman Regular" w:hAnsi="Times New Roman Regular" w:cs="Times New Roman Regular"/>
          <w:sz w:val="20"/>
          <w:szCs w:val="20"/>
        </w:rPr>
        <w:t>H heteronuclear single-quantum coherence (HSQC) spectra were recorded at 35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sz w:val="20"/>
          <w:szCs w:val="20"/>
          <w:lang w:val="en-US"/>
        </w:rPr>
        <w:t>℃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on Bruker Avance 600- and 800-MHz spectrometers equipped with cryogenically cooled probes. HSQC data set was acquired with 2048 complex points in the </w:t>
      </w: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</w:rPr>
        <w:t>1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H dimension and 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</w:rPr>
        <w:t>160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complex points in the </w:t>
      </w: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</w:rPr>
        <w:t>15</w:t>
      </w:r>
      <w:r>
        <w:rPr>
          <w:rFonts w:hint="default" w:ascii="Times New Roman Regular" w:hAnsi="Times New Roman Regular" w:cs="Times New Roman Regular"/>
          <w:sz w:val="20"/>
          <w:szCs w:val="20"/>
        </w:rPr>
        <w:t>N dimension. DHA, dissolved in the same NMR buffer, was stepwise titrated into the FATP3-TMD sample. HSQC spectra were recorded at after each DHA addition.</w:t>
      </w:r>
    </w:p>
    <w:p w14:paraId="1BAAEB56"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4C1D6"/>
    <w:rsid w:val="1BFF2601"/>
    <w:rsid w:val="3B4FD311"/>
    <w:rsid w:val="3D562473"/>
    <w:rsid w:val="4CBF0D9F"/>
    <w:rsid w:val="4FDE1250"/>
    <w:rsid w:val="5B3EDD75"/>
    <w:rsid w:val="5D2DBA61"/>
    <w:rsid w:val="5F2F210D"/>
    <w:rsid w:val="5F7568A5"/>
    <w:rsid w:val="677FFB31"/>
    <w:rsid w:val="7BFFD15A"/>
    <w:rsid w:val="7D1DCF52"/>
    <w:rsid w:val="7FFD9473"/>
    <w:rsid w:val="AEB15D17"/>
    <w:rsid w:val="BEC7FF5B"/>
    <w:rsid w:val="F859516D"/>
    <w:rsid w:val="FFEB5A08"/>
    <w:rsid w:val="FFF4C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annotation reference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2025-05-31T03:52:00Z</dcterms:created>
  <dc:creator>dingruohan</dc:creator>
  <cp:lastModifiedBy>dingruohan</cp:lastModifiedBy>
  <dcterms:modified xsi:type="dcterms:W3CDTF">2025-05-30T18:43:17Z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5DAA2A35A1035177C58B396800B48FFC_43</vt:lpwstr>
  </property>
</Properties>
</file>