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2750B8" w14:textId="3EB3F150" w:rsidR="002C53F2" w:rsidRPr="002C53F2" w:rsidRDefault="002C53F2">
      <w:pPr>
        <w:rPr>
          <w:b/>
          <w:bCs/>
        </w:rPr>
      </w:pPr>
      <w:r w:rsidRPr="002C53F2">
        <w:rPr>
          <w:b/>
          <w:bCs/>
        </w:rPr>
        <w:t>Supplement 1</w:t>
      </w:r>
    </w:p>
    <w:p w14:paraId="183D6973" w14:textId="37F75FD9" w:rsidR="002C53F2" w:rsidRDefault="002C53F2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C53F2" w:rsidRPr="00D413CF" w14:paraId="4DB3E059" w14:textId="77777777" w:rsidTr="00AB5CDC">
        <w:tc>
          <w:tcPr>
            <w:tcW w:w="9060" w:type="dxa"/>
          </w:tcPr>
          <w:p w14:paraId="2B84C30D" w14:textId="77777777" w:rsidR="002C53F2" w:rsidRPr="002C53F2" w:rsidRDefault="002C53F2" w:rsidP="00AB5CDC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  <w:lang w:val="en-US"/>
              </w:rPr>
            </w:pPr>
            <w:r w:rsidRPr="002C53F2">
              <w:rPr>
                <w:b/>
                <w:sz w:val="20"/>
                <w:szCs w:val="20"/>
                <w:lang w:val="en-US"/>
              </w:rPr>
              <w:t>Isolation:</w:t>
            </w:r>
          </w:p>
          <w:p w14:paraId="1F3BA19E" w14:textId="41B7B76F" w:rsidR="002C53F2" w:rsidRPr="002C53F2" w:rsidRDefault="002C53F2" w:rsidP="00AB5CDC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  <w:sz w:val="20"/>
                <w:szCs w:val="20"/>
                <w:lang w:val="en-US"/>
              </w:rPr>
            </w:pPr>
            <w:r w:rsidRPr="002C53F2">
              <w:rPr>
                <w:bCs/>
                <w:sz w:val="20"/>
                <w:szCs w:val="20"/>
                <w:lang w:val="en-US"/>
              </w:rPr>
              <w:t xml:space="preserve">In cases of suspected </w:t>
            </w:r>
            <w:r w:rsidR="00D413CF">
              <w:rPr>
                <w:bCs/>
                <w:sz w:val="20"/>
                <w:szCs w:val="20"/>
                <w:lang w:val="en-US"/>
              </w:rPr>
              <w:t>coronavirus disease 2019 (</w:t>
            </w:r>
            <w:r w:rsidRPr="002C53F2">
              <w:rPr>
                <w:bCs/>
                <w:sz w:val="20"/>
                <w:szCs w:val="20"/>
                <w:lang w:val="en-US"/>
              </w:rPr>
              <w:t>COVID-19</w:t>
            </w:r>
            <w:r w:rsidR="00D413CF">
              <w:rPr>
                <w:bCs/>
                <w:sz w:val="20"/>
                <w:szCs w:val="20"/>
                <w:lang w:val="en-US"/>
              </w:rPr>
              <w:t>)</w:t>
            </w:r>
            <w:r w:rsidRPr="002C53F2">
              <w:rPr>
                <w:bCs/>
                <w:sz w:val="20"/>
                <w:szCs w:val="20"/>
                <w:lang w:val="en-US"/>
              </w:rPr>
              <w:t>, treatment in a single-bed box; in cases of confirmed COVID-19, cohort isolation in a 2-or 4-bed box</w:t>
            </w:r>
          </w:p>
        </w:tc>
      </w:tr>
      <w:tr w:rsidR="002C53F2" w:rsidRPr="00D413CF" w14:paraId="752D55BF" w14:textId="77777777" w:rsidTr="00AB5CDC">
        <w:tc>
          <w:tcPr>
            <w:tcW w:w="9060" w:type="dxa"/>
          </w:tcPr>
          <w:p w14:paraId="08B287C8" w14:textId="77777777" w:rsidR="002C53F2" w:rsidRPr="002C53F2" w:rsidRDefault="002C53F2" w:rsidP="00AB5CDC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  <w:lang w:val="en-US"/>
              </w:rPr>
            </w:pPr>
            <w:r w:rsidRPr="002C53F2">
              <w:rPr>
                <w:b/>
                <w:sz w:val="20"/>
                <w:szCs w:val="20"/>
                <w:lang w:val="en-US"/>
              </w:rPr>
              <w:t>Virological or microbiological diagnostics:</w:t>
            </w:r>
          </w:p>
          <w:p w14:paraId="440FC824" w14:textId="77777777" w:rsidR="002C53F2" w:rsidRPr="002C53F2" w:rsidRDefault="002C53F2" w:rsidP="00AB5CDC">
            <w:pPr>
              <w:pStyle w:val="Listenabsatz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bCs/>
                <w:sz w:val="20"/>
                <w:szCs w:val="20"/>
                <w:lang w:val="en-US"/>
              </w:rPr>
            </w:pPr>
            <w:r w:rsidRPr="002C53F2">
              <w:rPr>
                <w:bCs/>
                <w:sz w:val="20"/>
                <w:szCs w:val="20"/>
                <w:lang w:val="en-US"/>
              </w:rPr>
              <w:t>Obtaining endotracheal aspirate and (1) RT-PCR testing for SARS-CoV-2 and (2) a routine bacteriological culture on admission to the ICU</w:t>
            </w:r>
          </w:p>
          <w:p w14:paraId="2C7DE7AB" w14:textId="77777777" w:rsidR="002C53F2" w:rsidRPr="002C53F2" w:rsidRDefault="002C53F2" w:rsidP="00AB5CDC">
            <w:pPr>
              <w:pStyle w:val="Listenabsatz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bCs/>
                <w:sz w:val="20"/>
                <w:szCs w:val="20"/>
                <w:lang w:val="en-US"/>
              </w:rPr>
            </w:pPr>
            <w:r w:rsidRPr="002C53F2">
              <w:rPr>
                <w:bCs/>
                <w:sz w:val="20"/>
                <w:szCs w:val="20"/>
                <w:lang w:val="en-US"/>
              </w:rPr>
              <w:t>Two pairs of blood cultures on admission to the ICU</w:t>
            </w:r>
          </w:p>
        </w:tc>
      </w:tr>
      <w:tr w:rsidR="002C53F2" w:rsidRPr="00FC7446" w14:paraId="51CC8749" w14:textId="77777777" w:rsidTr="00AB5CDC">
        <w:tc>
          <w:tcPr>
            <w:tcW w:w="9060" w:type="dxa"/>
          </w:tcPr>
          <w:p w14:paraId="673F7D4A" w14:textId="77777777" w:rsidR="002C53F2" w:rsidRPr="002C53F2" w:rsidRDefault="002C53F2" w:rsidP="00AB5CDC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  <w:lang w:val="en-US"/>
              </w:rPr>
            </w:pPr>
            <w:r w:rsidRPr="002C53F2">
              <w:rPr>
                <w:b/>
                <w:sz w:val="20"/>
                <w:szCs w:val="20"/>
                <w:lang w:val="en-US"/>
              </w:rPr>
              <w:t>Laboratory testing (on admission to the ICU and frequent follow-ups):</w:t>
            </w:r>
          </w:p>
          <w:p w14:paraId="09B6784C" w14:textId="77777777" w:rsidR="002C53F2" w:rsidRPr="002C53F2" w:rsidRDefault="002C53F2" w:rsidP="00AB5CDC">
            <w:pPr>
              <w:pStyle w:val="Listenabsatz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bCs/>
                <w:sz w:val="20"/>
                <w:szCs w:val="20"/>
                <w:lang w:val="en-US"/>
              </w:rPr>
            </w:pPr>
            <w:r w:rsidRPr="002C53F2">
              <w:rPr>
                <w:bCs/>
                <w:sz w:val="20"/>
                <w:szCs w:val="20"/>
                <w:lang w:val="en-US"/>
              </w:rPr>
              <w:t>Differential blood count</w:t>
            </w:r>
          </w:p>
          <w:p w14:paraId="3831AB1D" w14:textId="77777777" w:rsidR="002C53F2" w:rsidRPr="002C53F2" w:rsidRDefault="002C53F2" w:rsidP="00AB5CDC">
            <w:pPr>
              <w:pStyle w:val="Listenabsatz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bCs/>
                <w:sz w:val="20"/>
                <w:szCs w:val="20"/>
                <w:lang w:val="en-US"/>
              </w:rPr>
            </w:pPr>
            <w:r w:rsidRPr="002C53F2">
              <w:rPr>
                <w:bCs/>
                <w:sz w:val="20"/>
                <w:szCs w:val="20"/>
                <w:lang w:val="en-US"/>
              </w:rPr>
              <w:t>CRP, PCT, and IL-6</w:t>
            </w:r>
          </w:p>
          <w:p w14:paraId="647E5784" w14:textId="77777777" w:rsidR="002C53F2" w:rsidRPr="002C53F2" w:rsidRDefault="002C53F2" w:rsidP="00AB5CDC">
            <w:pPr>
              <w:pStyle w:val="Listenabsatz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bCs/>
                <w:sz w:val="20"/>
                <w:szCs w:val="20"/>
                <w:lang w:val="en-US"/>
              </w:rPr>
            </w:pPr>
            <w:r w:rsidRPr="002C53F2">
              <w:rPr>
                <w:bCs/>
                <w:sz w:val="20"/>
                <w:szCs w:val="20"/>
                <w:lang w:val="en-US"/>
              </w:rPr>
              <w:t>Ferritin</w:t>
            </w:r>
          </w:p>
          <w:p w14:paraId="5DF056F1" w14:textId="77777777" w:rsidR="002C53F2" w:rsidRPr="002C53F2" w:rsidRDefault="002C53F2" w:rsidP="00AB5CDC">
            <w:pPr>
              <w:pStyle w:val="Listenabsatz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bCs/>
                <w:sz w:val="20"/>
                <w:szCs w:val="20"/>
                <w:lang w:val="en-US"/>
              </w:rPr>
            </w:pPr>
            <w:r w:rsidRPr="002C53F2">
              <w:rPr>
                <w:bCs/>
                <w:sz w:val="20"/>
                <w:szCs w:val="20"/>
                <w:lang w:val="en-US"/>
              </w:rPr>
              <w:t>LDH</w:t>
            </w:r>
          </w:p>
          <w:p w14:paraId="68443C48" w14:textId="77777777" w:rsidR="002C53F2" w:rsidRPr="002C53F2" w:rsidRDefault="002C53F2" w:rsidP="00AB5CDC">
            <w:pPr>
              <w:pStyle w:val="Listenabsatz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bCs/>
                <w:sz w:val="20"/>
                <w:szCs w:val="20"/>
                <w:lang w:val="en-US"/>
              </w:rPr>
            </w:pPr>
            <w:r w:rsidRPr="002C53F2">
              <w:rPr>
                <w:bCs/>
                <w:sz w:val="20"/>
                <w:szCs w:val="20"/>
                <w:lang w:val="en-US"/>
              </w:rPr>
              <w:t>Creatinine, urea, and phosphate</w:t>
            </w:r>
          </w:p>
          <w:p w14:paraId="1CC9831B" w14:textId="77777777" w:rsidR="002C53F2" w:rsidRPr="002C53F2" w:rsidRDefault="002C53F2" w:rsidP="00AB5CDC">
            <w:pPr>
              <w:pStyle w:val="Listenabsatz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bCs/>
                <w:sz w:val="20"/>
                <w:szCs w:val="20"/>
                <w:lang w:val="en-US"/>
              </w:rPr>
            </w:pPr>
            <w:r w:rsidRPr="002C53F2">
              <w:rPr>
                <w:bCs/>
                <w:sz w:val="20"/>
                <w:szCs w:val="20"/>
                <w:lang w:val="en-US"/>
              </w:rPr>
              <w:t>ASAT, ALAT, gamma-GT, alkaline phosphatase, bilirubin, cholinesterase, and albumin</w:t>
            </w:r>
          </w:p>
          <w:p w14:paraId="79B75A54" w14:textId="77777777" w:rsidR="002C53F2" w:rsidRPr="002C53F2" w:rsidRDefault="002C53F2" w:rsidP="00AB5CDC">
            <w:pPr>
              <w:pStyle w:val="Listenabsatz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bCs/>
                <w:sz w:val="20"/>
                <w:szCs w:val="20"/>
                <w:lang w:val="en-US"/>
              </w:rPr>
            </w:pPr>
            <w:r w:rsidRPr="002C53F2">
              <w:rPr>
                <w:bCs/>
                <w:sz w:val="20"/>
                <w:szCs w:val="20"/>
                <w:lang w:val="en-US"/>
              </w:rPr>
              <w:t xml:space="preserve">Creatine kinase, troponin, and </w:t>
            </w:r>
            <w:proofErr w:type="spellStart"/>
            <w:r w:rsidRPr="002C53F2">
              <w:rPr>
                <w:bCs/>
                <w:sz w:val="20"/>
                <w:szCs w:val="20"/>
                <w:lang w:val="en-US"/>
              </w:rPr>
              <w:t>NTproBNP</w:t>
            </w:r>
            <w:proofErr w:type="spellEnd"/>
          </w:p>
          <w:p w14:paraId="0A113936" w14:textId="77777777" w:rsidR="002C53F2" w:rsidRPr="002C53F2" w:rsidRDefault="002C53F2" w:rsidP="00AB5CDC">
            <w:pPr>
              <w:pStyle w:val="Listenabsatz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bCs/>
                <w:sz w:val="20"/>
                <w:szCs w:val="20"/>
                <w:lang w:val="en-US"/>
              </w:rPr>
            </w:pPr>
            <w:r w:rsidRPr="002C53F2">
              <w:rPr>
                <w:bCs/>
                <w:sz w:val="20"/>
                <w:szCs w:val="20"/>
                <w:lang w:val="en-US"/>
              </w:rPr>
              <w:t>INR, PTT, fibrinogen, and D-dimer</w:t>
            </w:r>
          </w:p>
        </w:tc>
      </w:tr>
      <w:tr w:rsidR="002C53F2" w:rsidRPr="00D413CF" w14:paraId="3524AFBC" w14:textId="77777777" w:rsidTr="00AB5CDC">
        <w:tc>
          <w:tcPr>
            <w:tcW w:w="9060" w:type="dxa"/>
          </w:tcPr>
          <w:p w14:paraId="2E6EDDFA" w14:textId="77777777" w:rsidR="002C53F2" w:rsidRPr="002C53F2" w:rsidRDefault="002C53F2" w:rsidP="00AB5CDC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  <w:lang w:val="en-US"/>
              </w:rPr>
            </w:pPr>
            <w:r w:rsidRPr="002C53F2">
              <w:rPr>
                <w:b/>
                <w:sz w:val="20"/>
                <w:szCs w:val="20"/>
                <w:lang w:val="en-US"/>
              </w:rPr>
              <w:t>Instrumental diagnostics:</w:t>
            </w:r>
          </w:p>
          <w:p w14:paraId="6E468D38" w14:textId="77777777" w:rsidR="002C53F2" w:rsidRPr="002C53F2" w:rsidRDefault="002C53F2" w:rsidP="00AB5CDC">
            <w:pPr>
              <w:pStyle w:val="Listenabsatz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bCs/>
                <w:sz w:val="20"/>
                <w:szCs w:val="20"/>
                <w:lang w:val="en-US"/>
              </w:rPr>
            </w:pPr>
            <w:r w:rsidRPr="002C53F2">
              <w:rPr>
                <w:bCs/>
                <w:sz w:val="20"/>
                <w:szCs w:val="20"/>
                <w:lang w:val="en-US"/>
              </w:rPr>
              <w:t>Orienting echocardiography on admission to the ICU, repetition in the case of hemodynamic decline</w:t>
            </w:r>
          </w:p>
          <w:p w14:paraId="23A48F89" w14:textId="77777777" w:rsidR="002C53F2" w:rsidRPr="002C53F2" w:rsidRDefault="002C53F2" w:rsidP="00AB5CDC">
            <w:pPr>
              <w:pStyle w:val="Listenabsatz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bCs/>
                <w:sz w:val="20"/>
                <w:szCs w:val="20"/>
                <w:lang w:val="en-US"/>
              </w:rPr>
            </w:pPr>
            <w:r w:rsidRPr="002C53F2">
              <w:rPr>
                <w:bCs/>
                <w:sz w:val="20"/>
                <w:szCs w:val="20"/>
                <w:lang w:val="en-US"/>
              </w:rPr>
              <w:t>Lung ultrasonography on demand</w:t>
            </w:r>
          </w:p>
          <w:p w14:paraId="7B234DB6" w14:textId="77777777" w:rsidR="002C53F2" w:rsidRPr="002C53F2" w:rsidRDefault="002C53F2" w:rsidP="00AB5CDC">
            <w:pPr>
              <w:pStyle w:val="Listenabsatz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bCs/>
                <w:sz w:val="20"/>
                <w:szCs w:val="20"/>
                <w:lang w:val="en-US"/>
              </w:rPr>
            </w:pPr>
            <w:r w:rsidRPr="002C53F2">
              <w:rPr>
                <w:bCs/>
                <w:sz w:val="20"/>
                <w:szCs w:val="20"/>
                <w:lang w:val="en-US"/>
              </w:rPr>
              <w:t>12-channel ECG on admission to the ICU</w:t>
            </w:r>
          </w:p>
          <w:p w14:paraId="1469423F" w14:textId="77777777" w:rsidR="002C53F2" w:rsidRPr="002C53F2" w:rsidRDefault="002C53F2" w:rsidP="00AB5CDC">
            <w:pPr>
              <w:pStyle w:val="Listenabsatz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bCs/>
                <w:sz w:val="20"/>
                <w:szCs w:val="20"/>
                <w:lang w:val="en-US"/>
              </w:rPr>
            </w:pPr>
            <w:r w:rsidRPr="002C53F2">
              <w:rPr>
                <w:bCs/>
                <w:sz w:val="20"/>
                <w:szCs w:val="20"/>
                <w:lang w:val="en-US"/>
              </w:rPr>
              <w:t>Bedside chest X-ray on admission to the ICU and in the case of respiratory decline</w:t>
            </w:r>
          </w:p>
          <w:p w14:paraId="251F1992" w14:textId="77777777" w:rsidR="002C53F2" w:rsidRPr="002C53F2" w:rsidRDefault="002C53F2" w:rsidP="00AB5CDC">
            <w:pPr>
              <w:pStyle w:val="Listenabsatz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bCs/>
                <w:sz w:val="20"/>
                <w:szCs w:val="20"/>
                <w:lang w:val="en-US"/>
              </w:rPr>
            </w:pPr>
            <w:r w:rsidRPr="002C53F2">
              <w:rPr>
                <w:bCs/>
                <w:sz w:val="20"/>
                <w:szCs w:val="20"/>
                <w:lang w:val="en-US"/>
              </w:rPr>
              <w:t>CT of the chest and abdomen with a contrast agent on admission and, if necessary, in the case of respiratory decline (rationale: searching for a secondary infectious focus, aspect and extension of pulmonary lesions, and exclusion of pulmonary embolism)</w:t>
            </w:r>
          </w:p>
        </w:tc>
      </w:tr>
      <w:tr w:rsidR="002C53F2" w:rsidRPr="00D413CF" w14:paraId="3C1CA32A" w14:textId="77777777" w:rsidTr="00AB5CDC">
        <w:tc>
          <w:tcPr>
            <w:tcW w:w="9060" w:type="dxa"/>
          </w:tcPr>
          <w:p w14:paraId="5B7693E4" w14:textId="77777777" w:rsidR="002C53F2" w:rsidRPr="002C53F2" w:rsidRDefault="002C53F2" w:rsidP="00AB5CDC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  <w:sz w:val="20"/>
                <w:szCs w:val="20"/>
                <w:lang w:val="en-US"/>
              </w:rPr>
            </w:pPr>
            <w:r w:rsidRPr="002C53F2">
              <w:rPr>
                <w:b/>
                <w:sz w:val="20"/>
                <w:szCs w:val="20"/>
                <w:lang w:val="en-US"/>
              </w:rPr>
              <w:t>Antiviral agents:</w:t>
            </w:r>
            <w:r w:rsidRPr="002C53F2">
              <w:rPr>
                <w:bCs/>
                <w:sz w:val="20"/>
                <w:szCs w:val="20"/>
                <w:lang w:val="en-US"/>
              </w:rPr>
              <w:t xml:space="preserve"> Treatment not recommended because of the lack of evidence</w:t>
            </w:r>
          </w:p>
          <w:p w14:paraId="6F146E70" w14:textId="77777777" w:rsidR="002C53F2" w:rsidRPr="002C53F2" w:rsidRDefault="002C53F2" w:rsidP="00AB5CDC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  <w:sz w:val="20"/>
                <w:szCs w:val="20"/>
                <w:lang w:val="en-US"/>
              </w:rPr>
            </w:pPr>
            <w:r w:rsidRPr="002C53F2">
              <w:rPr>
                <w:b/>
                <w:sz w:val="20"/>
                <w:szCs w:val="20"/>
                <w:lang w:val="en-US"/>
              </w:rPr>
              <w:t>Antibacterial agents:</w:t>
            </w:r>
            <w:r w:rsidRPr="002C53F2">
              <w:rPr>
                <w:bCs/>
                <w:sz w:val="20"/>
                <w:szCs w:val="20"/>
                <w:lang w:val="en-US"/>
              </w:rPr>
              <w:t xml:space="preserve"> No prophylactic empiric antimicrobials, in the case of elevated PCT on admission and suspected bacterial superinfection, empirical initial therapy with piperacillin and tazobactam</w:t>
            </w:r>
          </w:p>
          <w:p w14:paraId="7DDDAC01" w14:textId="77777777" w:rsidR="002C53F2" w:rsidRPr="002C53F2" w:rsidRDefault="002C53F2" w:rsidP="00AB5CDC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  <w:sz w:val="20"/>
                <w:szCs w:val="20"/>
                <w:lang w:val="en-US"/>
              </w:rPr>
            </w:pPr>
            <w:r w:rsidRPr="002C53F2">
              <w:rPr>
                <w:b/>
                <w:sz w:val="20"/>
                <w:szCs w:val="20"/>
                <w:lang w:val="en-US"/>
              </w:rPr>
              <w:t>Antifungal agents:</w:t>
            </w:r>
            <w:r w:rsidRPr="002C53F2">
              <w:rPr>
                <w:bCs/>
                <w:sz w:val="20"/>
                <w:szCs w:val="20"/>
                <w:lang w:val="en-US"/>
              </w:rPr>
              <w:t xml:space="preserve"> Treatment only in the case of confirmed infection</w:t>
            </w:r>
          </w:p>
        </w:tc>
      </w:tr>
      <w:tr w:rsidR="002C53F2" w:rsidRPr="00D413CF" w14:paraId="3DBA6CB8" w14:textId="77777777" w:rsidTr="00AB5CDC">
        <w:tc>
          <w:tcPr>
            <w:tcW w:w="9060" w:type="dxa"/>
          </w:tcPr>
          <w:p w14:paraId="31AC6564" w14:textId="77777777" w:rsidR="002C53F2" w:rsidRPr="002C53F2" w:rsidRDefault="002C53F2" w:rsidP="00AB5CDC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  <w:sz w:val="20"/>
                <w:szCs w:val="20"/>
                <w:lang w:val="en-US"/>
              </w:rPr>
            </w:pPr>
            <w:r w:rsidRPr="002C53F2">
              <w:rPr>
                <w:b/>
                <w:sz w:val="20"/>
                <w:szCs w:val="20"/>
                <w:lang w:val="en-US"/>
              </w:rPr>
              <w:t>Systemic corticosteroids:</w:t>
            </w:r>
            <w:r w:rsidRPr="002C53F2">
              <w:rPr>
                <w:bCs/>
                <w:sz w:val="20"/>
                <w:szCs w:val="20"/>
                <w:lang w:val="en-US"/>
              </w:rPr>
              <w:t xml:space="preserve"> No routine use, but treatment is indicated in patients with suspected septic shock and insufficient response to vasopressor and fluid therapy</w:t>
            </w:r>
          </w:p>
        </w:tc>
      </w:tr>
      <w:tr w:rsidR="002C53F2" w:rsidRPr="00D413CF" w14:paraId="738669D6" w14:textId="77777777" w:rsidTr="00AB5CDC">
        <w:tc>
          <w:tcPr>
            <w:tcW w:w="9060" w:type="dxa"/>
          </w:tcPr>
          <w:p w14:paraId="33E99BF2" w14:textId="77777777" w:rsidR="002C53F2" w:rsidRPr="002C53F2" w:rsidRDefault="002C53F2" w:rsidP="00AB5CDC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  <w:lang w:val="en-US"/>
              </w:rPr>
            </w:pPr>
            <w:r w:rsidRPr="002C53F2">
              <w:rPr>
                <w:b/>
                <w:sz w:val="20"/>
                <w:szCs w:val="20"/>
                <w:lang w:val="en-US"/>
              </w:rPr>
              <w:t>Anticoagulation:</w:t>
            </w:r>
          </w:p>
          <w:p w14:paraId="2410693C" w14:textId="77777777" w:rsidR="002C53F2" w:rsidRPr="002C53F2" w:rsidRDefault="002C53F2" w:rsidP="00AB5CDC">
            <w:pPr>
              <w:pStyle w:val="Listenabsatz"/>
              <w:widowControl w:val="0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bCs/>
                <w:sz w:val="20"/>
                <w:szCs w:val="20"/>
                <w:lang w:val="en-US"/>
              </w:rPr>
            </w:pPr>
            <w:r w:rsidRPr="002C53F2">
              <w:rPr>
                <w:bCs/>
                <w:sz w:val="20"/>
                <w:szCs w:val="20"/>
                <w:lang w:val="en-US"/>
              </w:rPr>
              <w:t>Consequent prophylactic SC administration of enoxaparin (40 mg 0-0-1)</w:t>
            </w:r>
          </w:p>
          <w:p w14:paraId="24A1DFDE" w14:textId="77777777" w:rsidR="002C53F2" w:rsidRPr="002C53F2" w:rsidRDefault="002C53F2" w:rsidP="00AB5CDC">
            <w:pPr>
              <w:pStyle w:val="Listenabsatz"/>
              <w:widowControl w:val="0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bCs/>
                <w:sz w:val="20"/>
                <w:szCs w:val="20"/>
                <w:lang w:val="en-US"/>
              </w:rPr>
            </w:pPr>
            <w:r w:rsidRPr="002C53F2">
              <w:rPr>
                <w:bCs/>
                <w:sz w:val="20"/>
                <w:szCs w:val="20"/>
                <w:lang w:val="en-US"/>
              </w:rPr>
              <w:t>In the case of suspected activation of blood clotting (elevated values of D-dimer), lack of clinical bleeding diathesis, and normal renal function, increased dosage of enoxaparin (40 mg 1-0-1)</w:t>
            </w:r>
          </w:p>
          <w:p w14:paraId="7115FC8C" w14:textId="77777777" w:rsidR="002C53F2" w:rsidRPr="002C53F2" w:rsidRDefault="002C53F2" w:rsidP="00AB5CDC">
            <w:pPr>
              <w:pStyle w:val="Listenabsatz"/>
              <w:widowControl w:val="0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bCs/>
                <w:sz w:val="20"/>
                <w:szCs w:val="20"/>
                <w:lang w:val="en-US"/>
              </w:rPr>
            </w:pPr>
            <w:r w:rsidRPr="002C53F2">
              <w:rPr>
                <w:bCs/>
                <w:sz w:val="20"/>
                <w:szCs w:val="20"/>
                <w:lang w:val="en-US"/>
              </w:rPr>
              <w:t>In the case of AKI and during ECMO therapy, anticoagulation with continuous IV infusion of heparin with PTT target 50-60 s</w:t>
            </w:r>
          </w:p>
        </w:tc>
      </w:tr>
      <w:tr w:rsidR="002C53F2" w:rsidRPr="00D413CF" w14:paraId="540AA2F2" w14:textId="77777777" w:rsidTr="00AB5CDC">
        <w:tc>
          <w:tcPr>
            <w:tcW w:w="9060" w:type="dxa"/>
          </w:tcPr>
          <w:p w14:paraId="06973500" w14:textId="77777777" w:rsidR="002C53F2" w:rsidRPr="002C53F2" w:rsidRDefault="002C53F2" w:rsidP="00AB5CDC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  <w:lang w:val="en-US"/>
              </w:rPr>
            </w:pPr>
            <w:r w:rsidRPr="002C53F2">
              <w:rPr>
                <w:b/>
                <w:sz w:val="20"/>
                <w:szCs w:val="20"/>
                <w:lang w:val="en-US"/>
              </w:rPr>
              <w:t>Sedation:</w:t>
            </w:r>
          </w:p>
          <w:p w14:paraId="71D8F705" w14:textId="77777777" w:rsidR="002C53F2" w:rsidRPr="002C53F2" w:rsidRDefault="002C53F2" w:rsidP="00AB5CDC">
            <w:pPr>
              <w:pStyle w:val="Listenabsatz"/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bCs/>
                <w:sz w:val="20"/>
                <w:szCs w:val="20"/>
                <w:lang w:val="en-US"/>
              </w:rPr>
            </w:pPr>
            <w:r w:rsidRPr="002C53F2">
              <w:rPr>
                <w:bCs/>
                <w:sz w:val="20"/>
                <w:szCs w:val="20"/>
                <w:lang w:val="en-US"/>
              </w:rPr>
              <w:t xml:space="preserve">During the initial period, deep sedation with midazolam, ketamine, and </w:t>
            </w:r>
            <w:proofErr w:type="spellStart"/>
            <w:r w:rsidRPr="002C53F2">
              <w:rPr>
                <w:bCs/>
                <w:sz w:val="20"/>
                <w:szCs w:val="20"/>
                <w:lang w:val="en-US"/>
              </w:rPr>
              <w:t>sufentanil</w:t>
            </w:r>
            <w:proofErr w:type="spellEnd"/>
          </w:p>
          <w:p w14:paraId="2B897999" w14:textId="77777777" w:rsidR="002C53F2" w:rsidRPr="002C53F2" w:rsidRDefault="002C53F2" w:rsidP="00AB5CDC">
            <w:pPr>
              <w:pStyle w:val="Listenabsatz"/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bCs/>
                <w:sz w:val="20"/>
                <w:szCs w:val="20"/>
                <w:lang w:val="en-US"/>
              </w:rPr>
            </w:pPr>
            <w:r w:rsidRPr="002C53F2">
              <w:rPr>
                <w:bCs/>
                <w:sz w:val="20"/>
                <w:szCs w:val="20"/>
                <w:lang w:val="en-US"/>
              </w:rPr>
              <w:t>If necessary, continuous administration of rocuronium</w:t>
            </w:r>
          </w:p>
        </w:tc>
      </w:tr>
      <w:tr w:rsidR="002C53F2" w:rsidRPr="00D413CF" w14:paraId="24C98D6A" w14:textId="77777777" w:rsidTr="00AB5CDC">
        <w:tc>
          <w:tcPr>
            <w:tcW w:w="9060" w:type="dxa"/>
          </w:tcPr>
          <w:p w14:paraId="3719F8E1" w14:textId="77777777" w:rsidR="002C53F2" w:rsidRPr="002C53F2" w:rsidRDefault="002C53F2" w:rsidP="00AB5CDC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  <w:lang w:val="en-US"/>
              </w:rPr>
            </w:pPr>
            <w:r w:rsidRPr="002C53F2">
              <w:rPr>
                <w:b/>
                <w:sz w:val="20"/>
                <w:szCs w:val="20"/>
                <w:lang w:val="en-US"/>
              </w:rPr>
              <w:t>Hemodynamics:</w:t>
            </w:r>
          </w:p>
          <w:p w14:paraId="7A6D96D8" w14:textId="77777777" w:rsidR="002C53F2" w:rsidRPr="002C53F2" w:rsidRDefault="002C53F2" w:rsidP="00AB5CDC">
            <w:pPr>
              <w:pStyle w:val="Listenabsatz"/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bCs/>
                <w:sz w:val="20"/>
                <w:szCs w:val="20"/>
                <w:lang w:val="en-US"/>
              </w:rPr>
            </w:pPr>
            <w:r w:rsidRPr="002C53F2">
              <w:rPr>
                <w:bCs/>
                <w:sz w:val="20"/>
                <w:szCs w:val="20"/>
                <w:lang w:val="en-US"/>
              </w:rPr>
              <w:t>Conservative fluid strategy</w:t>
            </w:r>
          </w:p>
          <w:p w14:paraId="5940C4C5" w14:textId="77777777" w:rsidR="002C53F2" w:rsidRPr="002C53F2" w:rsidRDefault="002C53F2" w:rsidP="00AB5CDC">
            <w:pPr>
              <w:pStyle w:val="Listenabsatz"/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bCs/>
                <w:sz w:val="20"/>
                <w:szCs w:val="20"/>
                <w:lang w:val="en-US"/>
              </w:rPr>
            </w:pPr>
            <w:r w:rsidRPr="002C53F2">
              <w:rPr>
                <w:bCs/>
                <w:sz w:val="20"/>
                <w:szCs w:val="20"/>
                <w:lang w:val="en-US"/>
              </w:rPr>
              <w:t>Norepinephrine as a first-line vasoactive agent and, if necessary, vasopressin</w:t>
            </w:r>
          </w:p>
        </w:tc>
      </w:tr>
      <w:tr w:rsidR="002C53F2" w:rsidRPr="00D413CF" w14:paraId="322F670B" w14:textId="77777777" w:rsidTr="00AB5CDC">
        <w:tc>
          <w:tcPr>
            <w:tcW w:w="9060" w:type="dxa"/>
          </w:tcPr>
          <w:p w14:paraId="6342D8CC" w14:textId="77777777" w:rsidR="002C53F2" w:rsidRPr="002C53F2" w:rsidRDefault="002C53F2" w:rsidP="00AB5CDC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  <w:lang w:val="en-US"/>
              </w:rPr>
            </w:pPr>
            <w:r w:rsidRPr="002C53F2">
              <w:rPr>
                <w:b/>
                <w:sz w:val="20"/>
                <w:szCs w:val="20"/>
                <w:lang w:val="en-US"/>
              </w:rPr>
              <w:t>Ventilation:</w:t>
            </w:r>
          </w:p>
          <w:p w14:paraId="1683FA48" w14:textId="77777777" w:rsidR="002C53F2" w:rsidRPr="002C53F2" w:rsidRDefault="002C53F2" w:rsidP="00AB5CDC">
            <w:pPr>
              <w:pStyle w:val="Listenabsatz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bCs/>
                <w:sz w:val="20"/>
                <w:szCs w:val="20"/>
                <w:lang w:val="en-US"/>
              </w:rPr>
            </w:pPr>
            <w:r w:rsidRPr="002C53F2">
              <w:rPr>
                <w:bCs/>
                <w:sz w:val="20"/>
                <w:szCs w:val="20"/>
                <w:lang w:val="en-US"/>
              </w:rPr>
              <w:t>PRVC mode for initial treatment</w:t>
            </w:r>
          </w:p>
          <w:p w14:paraId="60254C69" w14:textId="77777777" w:rsidR="002C53F2" w:rsidRPr="002C53F2" w:rsidRDefault="002C53F2" w:rsidP="00AB5CDC">
            <w:pPr>
              <w:pStyle w:val="Listenabsatz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bCs/>
                <w:sz w:val="20"/>
                <w:szCs w:val="20"/>
                <w:lang w:val="en-US"/>
              </w:rPr>
            </w:pPr>
            <w:r w:rsidRPr="002C53F2">
              <w:rPr>
                <w:bCs/>
                <w:sz w:val="20"/>
                <w:szCs w:val="20"/>
                <w:lang w:val="en-US"/>
              </w:rPr>
              <w:t>Low VT (6-8 mL/kg of predicted body weight)</w:t>
            </w:r>
          </w:p>
          <w:p w14:paraId="11F13116" w14:textId="77777777" w:rsidR="002C53F2" w:rsidRPr="002C53F2" w:rsidRDefault="002C53F2" w:rsidP="00AB5CDC">
            <w:pPr>
              <w:pStyle w:val="Listenabsatz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bCs/>
                <w:sz w:val="20"/>
                <w:szCs w:val="20"/>
                <w:lang w:val="en-US"/>
              </w:rPr>
            </w:pPr>
            <w:proofErr w:type="spellStart"/>
            <w:r w:rsidRPr="002C53F2">
              <w:rPr>
                <w:bCs/>
                <w:sz w:val="20"/>
                <w:szCs w:val="20"/>
                <w:lang w:val="en-US"/>
              </w:rPr>
              <w:t>Pplat</w:t>
            </w:r>
            <w:proofErr w:type="spellEnd"/>
            <w:r w:rsidRPr="002C53F2">
              <w:rPr>
                <w:bCs/>
                <w:sz w:val="20"/>
                <w:szCs w:val="20"/>
                <w:lang w:val="en-US"/>
              </w:rPr>
              <w:t xml:space="preserve"> &lt; 30 cm H</w:t>
            </w:r>
            <w:r w:rsidRPr="002C53F2">
              <w:rPr>
                <w:bCs/>
                <w:sz w:val="20"/>
                <w:szCs w:val="20"/>
                <w:vertAlign w:val="subscript"/>
                <w:lang w:val="en-US"/>
              </w:rPr>
              <w:t>2</w:t>
            </w:r>
            <w:r w:rsidRPr="002C53F2">
              <w:rPr>
                <w:bCs/>
                <w:sz w:val="20"/>
                <w:szCs w:val="20"/>
                <w:lang w:val="en-US"/>
              </w:rPr>
              <w:t>O, driving pressure &lt; 16 cm H</w:t>
            </w:r>
            <w:r w:rsidRPr="002C53F2">
              <w:rPr>
                <w:bCs/>
                <w:sz w:val="20"/>
                <w:szCs w:val="20"/>
                <w:vertAlign w:val="subscript"/>
                <w:lang w:val="en-US"/>
              </w:rPr>
              <w:t>2</w:t>
            </w:r>
            <w:r w:rsidRPr="002C53F2">
              <w:rPr>
                <w:bCs/>
                <w:sz w:val="20"/>
                <w:szCs w:val="20"/>
                <w:lang w:val="en-US"/>
              </w:rPr>
              <w:t>O</w:t>
            </w:r>
          </w:p>
          <w:p w14:paraId="6CF4E3C5" w14:textId="77777777" w:rsidR="002C53F2" w:rsidRPr="002C53F2" w:rsidRDefault="002C53F2" w:rsidP="00AB5CDC">
            <w:pPr>
              <w:pStyle w:val="Listenabsatz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bCs/>
                <w:sz w:val="20"/>
                <w:szCs w:val="20"/>
                <w:lang w:val="en-US"/>
              </w:rPr>
            </w:pPr>
            <w:r w:rsidRPr="002C53F2">
              <w:rPr>
                <w:bCs/>
                <w:sz w:val="20"/>
                <w:szCs w:val="20"/>
                <w:lang w:val="en-US"/>
              </w:rPr>
              <w:t xml:space="preserve">PEEP according to the </w:t>
            </w:r>
            <w:proofErr w:type="spellStart"/>
            <w:r w:rsidRPr="002C53F2">
              <w:rPr>
                <w:bCs/>
                <w:sz w:val="20"/>
                <w:szCs w:val="20"/>
                <w:lang w:val="en-US"/>
              </w:rPr>
              <w:t>ARDSNet</w:t>
            </w:r>
            <w:proofErr w:type="spellEnd"/>
            <w:r w:rsidRPr="002C53F2">
              <w:rPr>
                <w:bCs/>
                <w:sz w:val="20"/>
                <w:szCs w:val="20"/>
                <w:lang w:val="en-US"/>
              </w:rPr>
              <w:t xml:space="preserve"> protocol:</w:t>
            </w:r>
          </w:p>
          <w:p w14:paraId="09D2E10D" w14:textId="77777777" w:rsidR="002C53F2" w:rsidRPr="002C53F2" w:rsidRDefault="002C53F2" w:rsidP="00AB5CDC">
            <w:pPr>
              <w:widowControl w:val="0"/>
              <w:autoSpaceDE w:val="0"/>
              <w:autoSpaceDN w:val="0"/>
              <w:adjustRightInd w:val="0"/>
              <w:ind w:left="360"/>
              <w:jc w:val="both"/>
              <w:rPr>
                <w:bCs/>
                <w:sz w:val="20"/>
                <w:szCs w:val="20"/>
                <w:lang w:val="en-US"/>
              </w:rPr>
            </w:pPr>
            <w:r w:rsidRPr="002C53F2">
              <w:rPr>
                <w:noProof/>
                <w:sz w:val="20"/>
                <w:szCs w:val="20"/>
              </w:rPr>
              <w:drawing>
                <wp:inline distT="0" distB="0" distL="0" distR="0" wp14:anchorId="03FCD572" wp14:editId="15951FA1">
                  <wp:extent cx="5756911" cy="504231"/>
                  <wp:effectExtent l="0" t="0" r="0" b="0"/>
                  <wp:docPr id="1073741825" name="officeArt object" descr="Ein Bild, das Screenshot enthält.&#10;&#10;Automatisch generierte Beschreibu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25" name="officeArt object" descr="Ein Bild, das Screenshot enthält.&#10;&#10;Automatisch generierte Beschreibung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rcRect t="19199" b="60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56911" cy="504231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 w14:paraId="7A105329" w14:textId="77777777" w:rsidR="002C53F2" w:rsidRPr="002C53F2" w:rsidRDefault="002C53F2" w:rsidP="00AB5CDC">
            <w:pPr>
              <w:pStyle w:val="Listenabsatz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bCs/>
                <w:sz w:val="20"/>
                <w:szCs w:val="20"/>
                <w:lang w:val="en-US"/>
              </w:rPr>
            </w:pPr>
            <w:r w:rsidRPr="002C53F2">
              <w:rPr>
                <w:bCs/>
                <w:sz w:val="20"/>
                <w:szCs w:val="20"/>
                <w:lang w:val="en-US"/>
              </w:rPr>
              <w:t>PaO</w:t>
            </w:r>
            <w:r w:rsidRPr="002C53F2">
              <w:rPr>
                <w:bCs/>
                <w:sz w:val="20"/>
                <w:szCs w:val="20"/>
                <w:vertAlign w:val="subscript"/>
                <w:lang w:val="en-US"/>
              </w:rPr>
              <w:t>2</w:t>
            </w:r>
            <w:r w:rsidRPr="002C53F2">
              <w:rPr>
                <w:bCs/>
                <w:sz w:val="20"/>
                <w:szCs w:val="20"/>
                <w:lang w:val="en-US"/>
              </w:rPr>
              <w:t xml:space="preserve"> 65-80 mm Hg</w:t>
            </w:r>
          </w:p>
          <w:p w14:paraId="5F5348E0" w14:textId="77777777" w:rsidR="002C53F2" w:rsidRPr="002C53F2" w:rsidRDefault="002C53F2" w:rsidP="00AB5CDC">
            <w:pPr>
              <w:pStyle w:val="Listenabsatz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bCs/>
                <w:sz w:val="20"/>
                <w:szCs w:val="20"/>
                <w:lang w:val="en-US"/>
              </w:rPr>
            </w:pPr>
            <w:r w:rsidRPr="002C53F2">
              <w:rPr>
                <w:bCs/>
                <w:sz w:val="20"/>
                <w:szCs w:val="20"/>
                <w:lang w:val="en-US"/>
              </w:rPr>
              <w:t>PaCO</w:t>
            </w:r>
            <w:r w:rsidRPr="002C53F2">
              <w:rPr>
                <w:bCs/>
                <w:sz w:val="20"/>
                <w:szCs w:val="20"/>
                <w:vertAlign w:val="subscript"/>
                <w:lang w:val="en-US"/>
              </w:rPr>
              <w:t>2</w:t>
            </w:r>
            <w:r w:rsidRPr="002C53F2">
              <w:rPr>
                <w:bCs/>
                <w:sz w:val="20"/>
                <w:szCs w:val="20"/>
                <w:lang w:val="en-US"/>
              </w:rPr>
              <w:t xml:space="preserve"> 40-60 mm Hg</w:t>
            </w:r>
          </w:p>
          <w:p w14:paraId="191F9251" w14:textId="77777777" w:rsidR="002C53F2" w:rsidRPr="002C53F2" w:rsidRDefault="002C53F2" w:rsidP="00AB5CDC">
            <w:pPr>
              <w:pStyle w:val="Listenabsatz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bCs/>
                <w:sz w:val="20"/>
                <w:szCs w:val="20"/>
                <w:lang w:val="en-US"/>
              </w:rPr>
            </w:pPr>
            <w:r w:rsidRPr="002C53F2">
              <w:rPr>
                <w:bCs/>
                <w:sz w:val="20"/>
                <w:szCs w:val="20"/>
                <w:lang w:val="en-US"/>
              </w:rPr>
              <w:t>pH &gt; 7.25</w:t>
            </w:r>
          </w:p>
          <w:p w14:paraId="6B3CF834" w14:textId="77777777" w:rsidR="002C53F2" w:rsidRPr="002C53F2" w:rsidRDefault="002C53F2" w:rsidP="00AB5CDC">
            <w:pPr>
              <w:pStyle w:val="Listenabsatz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bCs/>
                <w:sz w:val="20"/>
                <w:szCs w:val="20"/>
                <w:lang w:val="en-US"/>
              </w:rPr>
            </w:pPr>
            <w:r w:rsidRPr="002C53F2">
              <w:rPr>
                <w:bCs/>
                <w:sz w:val="20"/>
                <w:szCs w:val="20"/>
                <w:lang w:val="en-US"/>
              </w:rPr>
              <w:t>In the case of PaO</w:t>
            </w:r>
            <w:r w:rsidRPr="002C53F2">
              <w:rPr>
                <w:bCs/>
                <w:sz w:val="20"/>
                <w:szCs w:val="20"/>
                <w:vertAlign w:val="subscript"/>
                <w:lang w:val="en-US"/>
              </w:rPr>
              <w:t>2</w:t>
            </w:r>
            <w:r w:rsidRPr="002C53F2">
              <w:rPr>
                <w:bCs/>
                <w:sz w:val="20"/>
                <w:szCs w:val="20"/>
                <w:lang w:val="en-US"/>
              </w:rPr>
              <w:t>/FiO</w:t>
            </w:r>
            <w:r w:rsidRPr="002C53F2">
              <w:rPr>
                <w:bCs/>
                <w:sz w:val="20"/>
                <w:szCs w:val="20"/>
                <w:vertAlign w:val="subscript"/>
                <w:lang w:val="en-US"/>
              </w:rPr>
              <w:t>2</w:t>
            </w:r>
            <w:r w:rsidRPr="002C53F2">
              <w:rPr>
                <w:bCs/>
                <w:sz w:val="20"/>
                <w:szCs w:val="20"/>
                <w:lang w:val="en-US"/>
              </w:rPr>
              <w:t xml:space="preserve"> &lt; 150 mm Hg, consequent prone ventilation for at least 16 hours/day during </w:t>
            </w:r>
            <w:r w:rsidRPr="002C53F2">
              <w:rPr>
                <w:bCs/>
                <w:sz w:val="20"/>
                <w:szCs w:val="20"/>
                <w:lang w:val="en-US"/>
              </w:rPr>
              <w:lastRenderedPageBreak/>
              <w:t xml:space="preserve">the early course of the disease </w:t>
            </w:r>
            <w:proofErr w:type="gramStart"/>
            <w:r w:rsidRPr="002C53F2">
              <w:rPr>
                <w:bCs/>
                <w:sz w:val="20"/>
                <w:szCs w:val="20"/>
                <w:lang w:val="en-US"/>
              </w:rPr>
              <w:t>as long as</w:t>
            </w:r>
            <w:proofErr w:type="gramEnd"/>
            <w:r w:rsidRPr="002C53F2">
              <w:rPr>
                <w:bCs/>
                <w:sz w:val="20"/>
                <w:szCs w:val="20"/>
                <w:lang w:val="en-US"/>
              </w:rPr>
              <w:t xml:space="preserve"> improved pulmonary gas exchange is evident during </w:t>
            </w:r>
            <w:proofErr w:type="spellStart"/>
            <w:r w:rsidRPr="002C53F2">
              <w:rPr>
                <w:bCs/>
                <w:sz w:val="20"/>
                <w:szCs w:val="20"/>
                <w:lang w:val="en-US"/>
              </w:rPr>
              <w:t>proning</w:t>
            </w:r>
            <w:proofErr w:type="spellEnd"/>
          </w:p>
          <w:p w14:paraId="1D0AC75F" w14:textId="77777777" w:rsidR="002C53F2" w:rsidRPr="002C53F2" w:rsidRDefault="002C53F2" w:rsidP="00AB5CDC">
            <w:pPr>
              <w:pStyle w:val="Listenabsatz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bCs/>
                <w:sz w:val="20"/>
                <w:szCs w:val="20"/>
                <w:lang w:val="en-US"/>
              </w:rPr>
            </w:pPr>
            <w:r w:rsidRPr="002C53F2">
              <w:rPr>
                <w:bCs/>
                <w:sz w:val="20"/>
                <w:szCs w:val="20"/>
                <w:lang w:val="en-US"/>
              </w:rPr>
              <w:t>Inhaled ß2-mimetics only in the presence of obstructive ventilation disorder</w:t>
            </w:r>
          </w:p>
          <w:p w14:paraId="418F5151" w14:textId="77777777" w:rsidR="002C53F2" w:rsidRPr="002C53F2" w:rsidRDefault="002C53F2" w:rsidP="00AB5CDC">
            <w:pPr>
              <w:pStyle w:val="Listenabsatz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bCs/>
                <w:sz w:val="20"/>
                <w:szCs w:val="20"/>
                <w:lang w:val="en-US"/>
              </w:rPr>
            </w:pPr>
            <w:r w:rsidRPr="002C53F2">
              <w:rPr>
                <w:bCs/>
                <w:sz w:val="20"/>
                <w:szCs w:val="20"/>
                <w:lang w:val="en-US"/>
              </w:rPr>
              <w:t>Consider inhaled pulmonary vasodilators (</w:t>
            </w:r>
            <w:proofErr w:type="spellStart"/>
            <w:r w:rsidRPr="002C53F2">
              <w:rPr>
                <w:bCs/>
                <w:sz w:val="20"/>
                <w:szCs w:val="20"/>
                <w:lang w:val="en-US"/>
              </w:rPr>
              <w:t>iNO</w:t>
            </w:r>
            <w:proofErr w:type="spellEnd"/>
            <w:r w:rsidRPr="002C53F2">
              <w:rPr>
                <w:bCs/>
                <w:sz w:val="20"/>
                <w:szCs w:val="20"/>
                <w:lang w:val="en-US"/>
              </w:rPr>
              <w:t xml:space="preserve"> and </w:t>
            </w:r>
            <w:proofErr w:type="spellStart"/>
            <w:r w:rsidRPr="002C53F2">
              <w:rPr>
                <w:bCs/>
                <w:sz w:val="20"/>
                <w:szCs w:val="20"/>
                <w:lang w:val="en-US"/>
              </w:rPr>
              <w:t>iloprost</w:t>
            </w:r>
            <w:proofErr w:type="spellEnd"/>
            <w:r w:rsidRPr="002C53F2">
              <w:rPr>
                <w:bCs/>
                <w:sz w:val="20"/>
                <w:szCs w:val="20"/>
                <w:lang w:val="en-US"/>
              </w:rPr>
              <w:t>) in the case of persisting hypoxemia despite optimized ventilation or in proven pulmonary hypertension</w:t>
            </w:r>
          </w:p>
        </w:tc>
      </w:tr>
      <w:tr w:rsidR="002C53F2" w:rsidRPr="00D413CF" w14:paraId="5A473F58" w14:textId="77777777" w:rsidTr="00AB5CDC">
        <w:tc>
          <w:tcPr>
            <w:tcW w:w="9060" w:type="dxa"/>
          </w:tcPr>
          <w:p w14:paraId="5F90E9EF" w14:textId="77777777" w:rsidR="002C53F2" w:rsidRPr="002C53F2" w:rsidRDefault="002C53F2" w:rsidP="00AB5CDC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  <w:lang w:val="en-US"/>
              </w:rPr>
            </w:pPr>
            <w:r w:rsidRPr="002C53F2">
              <w:rPr>
                <w:b/>
                <w:sz w:val="20"/>
                <w:szCs w:val="20"/>
                <w:lang w:val="en-US"/>
              </w:rPr>
              <w:lastRenderedPageBreak/>
              <w:t>ECMO:</w:t>
            </w:r>
          </w:p>
          <w:p w14:paraId="556B66F7" w14:textId="77777777" w:rsidR="002C53F2" w:rsidRPr="002C53F2" w:rsidRDefault="002C53F2" w:rsidP="00AB5CDC">
            <w:pPr>
              <w:pStyle w:val="Listenabsatz"/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b/>
                <w:sz w:val="20"/>
                <w:szCs w:val="20"/>
                <w:lang w:val="en-US"/>
              </w:rPr>
            </w:pPr>
            <w:r w:rsidRPr="002C53F2">
              <w:rPr>
                <w:bCs/>
                <w:sz w:val="20"/>
                <w:szCs w:val="20"/>
                <w:lang w:val="en-US"/>
              </w:rPr>
              <w:t>Consider VV-ECMO in the case of persisting hypoxemia (PaO</w:t>
            </w:r>
            <w:r w:rsidRPr="002C53F2">
              <w:rPr>
                <w:bCs/>
                <w:sz w:val="20"/>
                <w:szCs w:val="20"/>
                <w:vertAlign w:val="subscript"/>
                <w:lang w:val="en-US"/>
              </w:rPr>
              <w:t>2</w:t>
            </w:r>
            <w:r w:rsidRPr="002C53F2">
              <w:rPr>
                <w:bCs/>
                <w:sz w:val="20"/>
                <w:szCs w:val="20"/>
                <w:lang w:val="en-US"/>
              </w:rPr>
              <w:t>/FiO</w:t>
            </w:r>
            <w:r w:rsidRPr="002C53F2">
              <w:rPr>
                <w:bCs/>
                <w:sz w:val="20"/>
                <w:szCs w:val="20"/>
                <w:vertAlign w:val="subscript"/>
                <w:lang w:val="en-US"/>
              </w:rPr>
              <w:t>2</w:t>
            </w:r>
            <w:r w:rsidRPr="002C53F2">
              <w:rPr>
                <w:bCs/>
                <w:sz w:val="20"/>
                <w:szCs w:val="20"/>
                <w:lang w:val="en-US"/>
              </w:rPr>
              <w:t xml:space="preserve"> 60-80 mm Hg at PEEP &gt; 15 cm H</w:t>
            </w:r>
            <w:r w:rsidRPr="002C53F2">
              <w:rPr>
                <w:bCs/>
                <w:sz w:val="20"/>
                <w:szCs w:val="20"/>
                <w:vertAlign w:val="subscript"/>
                <w:lang w:val="en-US"/>
              </w:rPr>
              <w:t>2</w:t>
            </w:r>
            <w:r w:rsidRPr="002C53F2">
              <w:rPr>
                <w:bCs/>
                <w:sz w:val="20"/>
                <w:szCs w:val="20"/>
                <w:lang w:val="en-US"/>
              </w:rPr>
              <w:t xml:space="preserve">O) despite optimized ventilation, ineffective </w:t>
            </w:r>
            <w:proofErr w:type="spellStart"/>
            <w:r w:rsidRPr="002C53F2">
              <w:rPr>
                <w:bCs/>
                <w:sz w:val="20"/>
                <w:szCs w:val="20"/>
                <w:lang w:val="en-US"/>
              </w:rPr>
              <w:t>proning</w:t>
            </w:r>
            <w:proofErr w:type="spellEnd"/>
            <w:r w:rsidRPr="002C53F2">
              <w:rPr>
                <w:bCs/>
                <w:sz w:val="20"/>
                <w:szCs w:val="20"/>
                <w:lang w:val="en-US"/>
              </w:rPr>
              <w:t>, or refractory severe hypercapnia with pH &lt; 7.15</w:t>
            </w:r>
          </w:p>
          <w:p w14:paraId="1459F636" w14:textId="77777777" w:rsidR="002C53F2" w:rsidRPr="002C53F2" w:rsidRDefault="002C53F2" w:rsidP="00AB5CDC">
            <w:pPr>
              <w:pStyle w:val="Listenabsatz"/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b/>
                <w:sz w:val="20"/>
                <w:szCs w:val="20"/>
                <w:lang w:val="en-US"/>
              </w:rPr>
            </w:pPr>
            <w:r w:rsidRPr="002C53F2">
              <w:rPr>
                <w:bCs/>
                <w:sz w:val="20"/>
                <w:szCs w:val="20"/>
                <w:lang w:val="en-US"/>
              </w:rPr>
              <w:t>Contraindications: age &gt; 70 years or severe co-morbidities</w:t>
            </w:r>
          </w:p>
        </w:tc>
      </w:tr>
      <w:tr w:rsidR="002C53F2" w:rsidRPr="00D413CF" w14:paraId="51A3623E" w14:textId="77777777" w:rsidTr="00AB5CDC">
        <w:tc>
          <w:tcPr>
            <w:tcW w:w="9060" w:type="dxa"/>
          </w:tcPr>
          <w:p w14:paraId="7A5608FA" w14:textId="77777777" w:rsidR="002C53F2" w:rsidRPr="002C53F2" w:rsidRDefault="002C53F2" w:rsidP="00AB5CDC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  <w:sz w:val="20"/>
                <w:szCs w:val="20"/>
                <w:lang w:val="en-US"/>
              </w:rPr>
            </w:pPr>
            <w:r w:rsidRPr="002C53F2">
              <w:rPr>
                <w:bCs/>
                <w:sz w:val="20"/>
                <w:szCs w:val="20"/>
                <w:lang w:val="en-US"/>
              </w:rPr>
              <w:t xml:space="preserve">Consider development of </w:t>
            </w:r>
            <w:r w:rsidRPr="002C53F2">
              <w:rPr>
                <w:b/>
                <w:sz w:val="20"/>
                <w:szCs w:val="20"/>
                <w:lang w:val="en-US"/>
              </w:rPr>
              <w:t xml:space="preserve">secondary hemophagocytic </w:t>
            </w:r>
            <w:proofErr w:type="spellStart"/>
            <w:r w:rsidRPr="002C53F2">
              <w:rPr>
                <w:b/>
                <w:sz w:val="20"/>
                <w:szCs w:val="20"/>
                <w:lang w:val="en-US"/>
              </w:rPr>
              <w:t>lymphohistiocytosis</w:t>
            </w:r>
            <w:proofErr w:type="spellEnd"/>
            <w:r w:rsidRPr="002C53F2">
              <w:rPr>
                <w:bCs/>
                <w:sz w:val="20"/>
                <w:szCs w:val="20"/>
                <w:lang w:val="en-US"/>
              </w:rPr>
              <w:t xml:space="preserve"> in the case of considerably high levels of ferritin and fever or acute worsening of the overall situation</w:t>
            </w:r>
          </w:p>
        </w:tc>
      </w:tr>
    </w:tbl>
    <w:p w14:paraId="2824EC2A" w14:textId="0EC68A5B" w:rsidR="002C53F2" w:rsidRDefault="002C53F2">
      <w:pPr>
        <w:rPr>
          <w:lang w:val="en-US"/>
        </w:rPr>
      </w:pPr>
    </w:p>
    <w:p w14:paraId="4CFBE343" w14:textId="400505C6" w:rsidR="002C53F2" w:rsidRPr="002C53F2" w:rsidRDefault="002C53F2" w:rsidP="002C53F2">
      <w:pPr>
        <w:widowControl w:val="0"/>
        <w:autoSpaceDE w:val="0"/>
        <w:autoSpaceDN w:val="0"/>
        <w:adjustRightInd w:val="0"/>
        <w:spacing w:line="276" w:lineRule="auto"/>
        <w:jc w:val="both"/>
        <w:rPr>
          <w:bCs/>
          <w:i/>
          <w:iCs/>
          <w:lang w:val="en-US"/>
        </w:rPr>
      </w:pPr>
      <w:r w:rsidRPr="002C53F2">
        <w:rPr>
          <w:b/>
          <w:i/>
          <w:iCs/>
          <w:lang w:val="en-US"/>
        </w:rPr>
        <w:t xml:space="preserve">Table 1 </w:t>
      </w:r>
      <w:r w:rsidRPr="002C53F2">
        <w:rPr>
          <w:bCs/>
          <w:i/>
          <w:iCs/>
          <w:lang w:val="en-US"/>
        </w:rPr>
        <w:t xml:space="preserve">SOP for the treatment of intubated patients with confirmed or suspected COVID-19 RT-PCR, reverse transcription polymerase chain reaction; ICU, intensive care unit; CRP, c reactive protein; PCT, procalcitonin; IL-6, interleukin-6; LDH, lactate dehydrogenase; ASAT, aspartate aminotransferase; ALAT, alanine aminotransferase; gamma-GT, gamma-glutamyl transferase; </w:t>
      </w:r>
      <w:proofErr w:type="spellStart"/>
      <w:r w:rsidRPr="002C53F2">
        <w:rPr>
          <w:bCs/>
          <w:i/>
          <w:iCs/>
          <w:lang w:val="en-US"/>
        </w:rPr>
        <w:t>NTproBNP</w:t>
      </w:r>
      <w:proofErr w:type="spellEnd"/>
      <w:r w:rsidRPr="002C53F2">
        <w:rPr>
          <w:bCs/>
          <w:i/>
          <w:iCs/>
          <w:lang w:val="en-US"/>
        </w:rPr>
        <w:t xml:space="preserve">, N-terminal prohormone brain natriuretic peptide; INR, international normalized ratio; PTT, partial thromboplastin time; ECG, electrocardiogram; CT, computed tomography; SC, subcutaneous; AKI, acute kidney injury; IV, intravenous; PRVC, pressure regulated volume control; VT, tidal volume; </w:t>
      </w:r>
      <w:proofErr w:type="spellStart"/>
      <w:r w:rsidRPr="002C53F2">
        <w:rPr>
          <w:bCs/>
          <w:i/>
          <w:iCs/>
          <w:lang w:val="en-US"/>
        </w:rPr>
        <w:t>Pplat</w:t>
      </w:r>
      <w:proofErr w:type="spellEnd"/>
      <w:r w:rsidRPr="002C53F2">
        <w:rPr>
          <w:bCs/>
          <w:i/>
          <w:iCs/>
          <w:lang w:val="en-US"/>
        </w:rPr>
        <w:t xml:space="preserve">, plateau pressure; PEEP, positive end expiratory pressure; </w:t>
      </w:r>
      <w:r w:rsidRPr="002C53F2">
        <w:rPr>
          <w:rFonts w:cs="Times"/>
          <w:i/>
          <w:iCs/>
          <w:lang w:val="en-US"/>
        </w:rPr>
        <w:t>PaO</w:t>
      </w:r>
      <w:r w:rsidRPr="002C53F2">
        <w:rPr>
          <w:rFonts w:cs="Times"/>
          <w:i/>
          <w:iCs/>
          <w:vertAlign w:val="subscript"/>
          <w:lang w:val="en-US"/>
        </w:rPr>
        <w:t>2,</w:t>
      </w:r>
      <w:r w:rsidRPr="002C53F2">
        <w:rPr>
          <w:rFonts w:cs="Times"/>
          <w:i/>
          <w:iCs/>
          <w:lang w:val="en-US"/>
        </w:rPr>
        <w:t xml:space="preserve"> arterial partial pressure of oxygen; PaCO</w:t>
      </w:r>
      <w:r w:rsidRPr="002C53F2">
        <w:rPr>
          <w:rFonts w:cs="Times"/>
          <w:i/>
          <w:iCs/>
          <w:vertAlign w:val="subscript"/>
          <w:lang w:val="en-US"/>
        </w:rPr>
        <w:t>2</w:t>
      </w:r>
      <w:r w:rsidRPr="00D413CF">
        <w:rPr>
          <w:rFonts w:cs="Times"/>
          <w:i/>
          <w:iCs/>
          <w:lang w:val="en-US"/>
        </w:rPr>
        <w:t>,</w:t>
      </w:r>
      <w:r w:rsidRPr="002C53F2">
        <w:rPr>
          <w:rFonts w:cs="Times"/>
          <w:i/>
          <w:iCs/>
          <w:lang w:val="en-US"/>
        </w:rPr>
        <w:t xml:space="preserve"> arterial partial pressure of carbon dioxide;</w:t>
      </w:r>
      <w:r w:rsidRPr="002C53F2">
        <w:rPr>
          <w:bCs/>
          <w:i/>
          <w:iCs/>
          <w:lang w:val="en-US"/>
        </w:rPr>
        <w:t xml:space="preserve"> </w:t>
      </w:r>
      <w:r w:rsidRPr="002C53F2">
        <w:rPr>
          <w:rFonts w:cs="Times"/>
          <w:i/>
          <w:iCs/>
          <w:lang w:val="en-US"/>
        </w:rPr>
        <w:t>FiO</w:t>
      </w:r>
      <w:r w:rsidRPr="002C53F2">
        <w:rPr>
          <w:rFonts w:cs="Times"/>
          <w:i/>
          <w:iCs/>
          <w:vertAlign w:val="subscript"/>
          <w:lang w:val="en-US"/>
        </w:rPr>
        <w:t>2</w:t>
      </w:r>
      <w:r w:rsidRPr="002C53F2">
        <w:rPr>
          <w:rFonts w:cs="Times"/>
          <w:i/>
          <w:iCs/>
          <w:lang w:val="en-US"/>
        </w:rPr>
        <w:t xml:space="preserve">, fraction of inspired oxygen; </w:t>
      </w:r>
      <w:proofErr w:type="spellStart"/>
      <w:r w:rsidRPr="002C53F2">
        <w:rPr>
          <w:rFonts w:cs="Times"/>
          <w:i/>
          <w:iCs/>
          <w:lang w:val="en-US"/>
        </w:rPr>
        <w:t>iNO</w:t>
      </w:r>
      <w:proofErr w:type="spellEnd"/>
      <w:r w:rsidRPr="002C53F2">
        <w:rPr>
          <w:rFonts w:cs="Times"/>
          <w:i/>
          <w:iCs/>
          <w:lang w:val="en-US"/>
        </w:rPr>
        <w:t>, inhaled nitrogen monoxide;</w:t>
      </w:r>
      <w:r w:rsidRPr="002C53F2">
        <w:rPr>
          <w:bCs/>
          <w:i/>
          <w:iCs/>
          <w:lang w:val="en-US"/>
        </w:rPr>
        <w:t xml:space="preserve"> VV-ECMO, </w:t>
      </w:r>
      <w:proofErr w:type="spellStart"/>
      <w:r w:rsidRPr="002C53F2">
        <w:rPr>
          <w:bCs/>
          <w:i/>
          <w:iCs/>
          <w:lang w:val="en-US"/>
        </w:rPr>
        <w:t>venovenous</w:t>
      </w:r>
      <w:proofErr w:type="spellEnd"/>
      <w:r w:rsidRPr="002C53F2">
        <w:rPr>
          <w:bCs/>
          <w:i/>
          <w:iCs/>
          <w:lang w:val="en-US"/>
        </w:rPr>
        <w:t xml:space="preserve"> extracorporeal membrane oxygenation</w:t>
      </w:r>
    </w:p>
    <w:p w14:paraId="71B66EA4" w14:textId="77777777" w:rsidR="002C53F2" w:rsidRPr="002C53F2" w:rsidRDefault="002C53F2">
      <w:pPr>
        <w:rPr>
          <w:lang w:val="en-US"/>
        </w:rPr>
      </w:pPr>
    </w:p>
    <w:sectPr w:rsidR="002C53F2" w:rsidRPr="002C53F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637443B"/>
    <w:multiLevelType w:val="hybridMultilevel"/>
    <w:tmpl w:val="8DC0888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AC43FD"/>
    <w:multiLevelType w:val="hybridMultilevel"/>
    <w:tmpl w:val="29A4CA5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5F0E5E"/>
    <w:multiLevelType w:val="hybridMultilevel"/>
    <w:tmpl w:val="9E9C38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B9004B"/>
    <w:multiLevelType w:val="hybridMultilevel"/>
    <w:tmpl w:val="B3F651E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885BDE"/>
    <w:multiLevelType w:val="hybridMultilevel"/>
    <w:tmpl w:val="29FAAD3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CC0602"/>
    <w:multiLevelType w:val="hybridMultilevel"/>
    <w:tmpl w:val="6F7C5B6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8F05256"/>
    <w:multiLevelType w:val="hybridMultilevel"/>
    <w:tmpl w:val="F5BE3F9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4"/>
  </w:num>
  <w:num w:numId="5">
    <w:abstractNumId w:val="2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53F2"/>
    <w:rsid w:val="002C53F2"/>
    <w:rsid w:val="00D41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E8E0AAA"/>
  <w15:chartTrackingRefBased/>
  <w15:docId w15:val="{784A8FB4-5EA2-294D-A032-E52E12E672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2C53F2"/>
    <w:pPr>
      <w:spacing w:after="200" w:line="276" w:lineRule="auto"/>
      <w:ind w:left="720"/>
      <w:contextualSpacing/>
    </w:pPr>
    <w:rPr>
      <w:rFonts w:eastAsiaTheme="minorEastAsia"/>
      <w:sz w:val="22"/>
      <w:szCs w:val="22"/>
      <w:lang w:eastAsia="de-DE"/>
    </w:rPr>
  </w:style>
  <w:style w:type="table" w:styleId="Tabellenraster">
    <w:name w:val="Table Grid"/>
    <w:basedOn w:val="NormaleTabelle"/>
    <w:uiPriority w:val="59"/>
    <w:rsid w:val="002C53F2"/>
    <w:rPr>
      <w:rFonts w:eastAsiaTheme="minorEastAsia"/>
      <w:sz w:val="22"/>
      <w:szCs w:val="22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618</Words>
  <Characters>3895</Characters>
  <Application>Microsoft Office Word</Application>
  <DocSecurity>0</DocSecurity>
  <Lines>32</Lines>
  <Paragraphs>9</Paragraphs>
  <ScaleCrop>false</ScaleCrop>
  <Company/>
  <LinksUpToDate>false</LinksUpToDate>
  <CharactersWithSpaces>4504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kim29986</dc:creator>
  <cp:keywords/>
  <dc:description/>
  <cp:lastModifiedBy>kim29986</cp:lastModifiedBy>
  <cp:revision>2</cp:revision>
  <dcterms:created xsi:type="dcterms:W3CDTF">2021-04-25T11:35:00Z</dcterms:created>
  <dcterms:modified xsi:type="dcterms:W3CDTF">2021-05-15T14:01:00Z</dcterms:modified>
</cp:coreProperties>
</file>