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CA5F1" w14:textId="77777777" w:rsidR="00E51984" w:rsidRDefault="00E51984" w:rsidP="00E51984">
      <w:r>
        <w:t>Appendix</w:t>
      </w:r>
    </w:p>
    <w:p w14:paraId="6356D20F" w14:textId="77777777" w:rsidR="00E51984" w:rsidRDefault="00E51984" w:rsidP="00E51984">
      <w:r>
        <w:rPr>
          <w:rFonts w:hint="eastAsia"/>
        </w:rPr>
        <w:t xml:space="preserve">Another </w:t>
      </w:r>
      <w:r>
        <w:t>random forest (</w:t>
      </w:r>
      <w:r>
        <w:rPr>
          <w:rFonts w:hint="eastAsia"/>
        </w:rPr>
        <w:t>RF</w:t>
      </w:r>
      <w:r>
        <w:t>)</w:t>
      </w:r>
      <w:r>
        <w:rPr>
          <w:rFonts w:hint="eastAsia"/>
        </w:rPr>
        <w:t xml:space="preserve"> model</w:t>
      </w:r>
      <w:r>
        <w:t xml:space="preserve"> that</w:t>
      </w:r>
      <w:r>
        <w:rPr>
          <w:rFonts w:hint="eastAsia"/>
        </w:rPr>
        <w:t xml:space="preserve"> us</w:t>
      </w:r>
      <w:r>
        <w:t>es</w:t>
      </w:r>
      <w:r>
        <w:rPr>
          <w:rFonts w:hint="eastAsia"/>
        </w:rPr>
        <w:t xml:space="preserve"> the individual-level data was investigated to test the adoptability of </w:t>
      </w:r>
      <w:r>
        <w:t>predicting</w:t>
      </w:r>
      <w:r>
        <w:rPr>
          <w:rFonts w:hint="eastAsia"/>
        </w:rPr>
        <w:t xml:space="preserve"> the radon level of individual houses</w:t>
      </w:r>
      <w:r>
        <w:t xml:space="preserve"> by</w:t>
      </w:r>
      <w:r>
        <w:rPr>
          <w:rFonts w:hint="eastAsia"/>
        </w:rPr>
        <w:t xml:space="preserve"> using the aggregated independent variables.</w:t>
      </w:r>
    </w:p>
    <w:p w14:paraId="14C57C8B" w14:textId="77777777" w:rsidR="00E51984" w:rsidRDefault="00E51984" w:rsidP="00E51984">
      <w:r>
        <w:rPr>
          <w:rFonts w:hint="eastAsia"/>
        </w:rPr>
        <w:t xml:space="preserve">For this model, RF was used </w:t>
      </w:r>
      <w:r>
        <w:t>similarly to</w:t>
      </w:r>
      <w:r>
        <w:rPr>
          <w:rFonts w:hint="eastAsia"/>
        </w:rPr>
        <w:t xml:space="preserve"> the previous </w:t>
      </w:r>
      <w:r>
        <w:t>Average Model and Relative Variability Model. Performance metrics such as root mean square error (RMSE)</w:t>
      </w:r>
      <w:r>
        <w:rPr>
          <w:rFonts w:hint="eastAsia"/>
        </w:rPr>
        <w:t>,</w:t>
      </w:r>
      <w:r w:rsidRPr="001A4B49">
        <w:t xml:space="preserve"> </w:t>
      </w:r>
      <w:r>
        <w:t>R-squared (R²)</w:t>
      </w:r>
      <w:r>
        <w:rPr>
          <w:rFonts w:hint="eastAsia"/>
        </w:rPr>
        <w:t xml:space="preserve">, and </w:t>
      </w:r>
      <w:r>
        <w:t>mean absolute percentage error (MAPE)</w:t>
      </w:r>
      <w:r>
        <w:rPr>
          <w:rFonts w:hint="eastAsia"/>
        </w:rPr>
        <w:t xml:space="preserve"> </w:t>
      </w:r>
      <w:r w:rsidRPr="007D1AC1">
        <w:t xml:space="preserve">were used </w:t>
      </w:r>
      <w:r>
        <w:t>to evaluate</w:t>
      </w:r>
      <w:r w:rsidRPr="007D1AC1">
        <w:t xml:space="preserve"> the </w:t>
      </w:r>
      <w:r>
        <w:t xml:space="preserve">model's </w:t>
      </w:r>
      <w:r w:rsidRPr="007D1AC1">
        <w:t>performance</w:t>
      </w:r>
      <w:r>
        <w:t>, and</w:t>
      </w:r>
      <w:r w:rsidRPr="007D1AC1">
        <w:t xml:space="preserve"> the evaluation was </w:t>
      </w:r>
      <w:r>
        <w:t xml:space="preserve">conducted by using </w:t>
      </w:r>
      <w:r>
        <w:rPr>
          <w:rFonts w:hint="eastAsia"/>
        </w:rPr>
        <w:t xml:space="preserve">5 iterations of </w:t>
      </w:r>
      <w:r w:rsidRPr="007D1AC1">
        <w:t>group 5-fold cross-validation</w:t>
      </w:r>
      <w:r>
        <w:t xml:space="preserve"> (CV)</w:t>
      </w:r>
      <w:r w:rsidRPr="007D1AC1">
        <w:t xml:space="preserve"> </w:t>
      </w:r>
      <w:r>
        <w:t>with zip-code tabulation area (ZCTA)</w:t>
      </w:r>
      <w:r w:rsidRPr="007D1AC1">
        <w:t xml:space="preserve"> as the </w:t>
      </w:r>
      <w:r>
        <w:t xml:space="preserve">grouping variable. </w:t>
      </w:r>
      <w:r>
        <w:rPr>
          <w:rFonts w:hint="eastAsia"/>
        </w:rPr>
        <w:t xml:space="preserve">(Table A1) </w:t>
      </w:r>
      <w:r w:rsidRPr="005D3BE8">
        <w:t>The metrics indicate</w:t>
      </w:r>
      <w:r>
        <w:rPr>
          <w:rFonts w:hint="eastAsia"/>
        </w:rPr>
        <w:t>d</w:t>
      </w:r>
      <w:r w:rsidRPr="005D3BE8">
        <w:t xml:space="preserve"> poor predictive performance, suggesting significant variability in radon levels within each ZCTA</w:t>
      </w:r>
      <w:r>
        <w:t>,</w:t>
      </w:r>
      <w:r>
        <w:rPr>
          <w:rFonts w:hint="eastAsia"/>
        </w:rPr>
        <w:t xml:space="preserve"> </w:t>
      </w:r>
      <w:proofErr w:type="gramStart"/>
      <w:r>
        <w:rPr>
          <w:rFonts w:hint="eastAsia"/>
        </w:rPr>
        <w:t>similar to</w:t>
      </w:r>
      <w:proofErr w:type="gramEnd"/>
      <w:r>
        <w:rPr>
          <w:rFonts w:hint="eastAsia"/>
        </w:rPr>
        <w:t xml:space="preserve"> the </w:t>
      </w:r>
      <w:r>
        <w:t>Average Model</w:t>
      </w:r>
      <w:r w:rsidRPr="005D3BE8">
        <w:t>. Predicting high-variability measures from aggregated variables resulted in poor accuracy</w:t>
      </w:r>
      <w:r>
        <w:t xml:space="preserve"> and highlighted the need for non-aggregated variables or other approaches.</w:t>
      </w:r>
    </w:p>
    <w:p w14:paraId="774793F8" w14:textId="77777777" w:rsidR="00E51984" w:rsidRPr="00BA295F" w:rsidRDefault="00E51984" w:rsidP="00E51984">
      <w:pPr>
        <w:jc w:val="center"/>
      </w:pPr>
      <w:r>
        <w:rPr>
          <w:rFonts w:hint="eastAsia"/>
        </w:rPr>
        <w:t>Table A1.</w:t>
      </w:r>
      <w:r w:rsidRPr="007669BA">
        <w:rPr>
          <w:rFonts w:hint="eastAsia"/>
        </w:rPr>
        <w:t xml:space="preserve"> </w:t>
      </w:r>
      <w:r>
        <w:rPr>
          <w:rFonts w:hint="eastAsia"/>
        </w:rPr>
        <w:t>Metrics and their standard deviation of</w:t>
      </w:r>
      <w:r>
        <w:t xml:space="preserve"> the</w:t>
      </w:r>
      <w:r>
        <w:rPr>
          <w:rFonts w:hint="eastAsia"/>
        </w:rPr>
        <w:t xml:space="preserve"> </w:t>
      </w:r>
      <w:r>
        <w:t>i</w:t>
      </w:r>
      <w:r>
        <w:rPr>
          <w:rFonts w:hint="eastAsia"/>
        </w:rPr>
        <w:t xml:space="preserve">ndividual RF </w:t>
      </w:r>
      <w:r>
        <w:t>m</w:t>
      </w:r>
      <w:r>
        <w:rPr>
          <w:rFonts w:hint="eastAsia"/>
        </w:rPr>
        <w:t>odel</w:t>
      </w:r>
      <w:r>
        <w:t>.</w:t>
      </w:r>
    </w:p>
    <w:tbl>
      <w:tblPr>
        <w:tblStyle w:val="TableGrid"/>
        <w:tblW w:w="0" w:type="auto"/>
        <w:tblInd w:w="2017" w:type="dxa"/>
        <w:tblLook w:val="04A0" w:firstRow="1" w:lastRow="0" w:firstColumn="1" w:lastColumn="0" w:noHBand="0" w:noVBand="1"/>
      </w:tblPr>
      <w:tblGrid>
        <w:gridCol w:w="1075"/>
        <w:gridCol w:w="1806"/>
        <w:gridCol w:w="2438"/>
      </w:tblGrid>
      <w:tr w:rsidR="00E51984" w:rsidRPr="00402050" w14:paraId="7E7A1FC3" w14:textId="77777777" w:rsidTr="004B16C0">
        <w:trPr>
          <w:trHeight w:val="503"/>
        </w:trPr>
        <w:tc>
          <w:tcPr>
            <w:tcW w:w="1075" w:type="dxa"/>
          </w:tcPr>
          <w:p w14:paraId="10048922" w14:textId="77777777" w:rsidR="00E51984" w:rsidRPr="00402050" w:rsidRDefault="00E51984" w:rsidP="004B16C0">
            <w:pPr>
              <w:jc w:val="center"/>
            </w:pPr>
          </w:p>
        </w:tc>
        <w:tc>
          <w:tcPr>
            <w:tcW w:w="1806" w:type="dxa"/>
          </w:tcPr>
          <w:p w14:paraId="190D9088" w14:textId="77777777" w:rsidR="00E51984" w:rsidRPr="006F05A9" w:rsidRDefault="00E51984" w:rsidP="004B16C0">
            <w:pPr>
              <w:jc w:val="center"/>
              <w:rPr>
                <w:b/>
                <w:bCs/>
              </w:rPr>
            </w:pPr>
            <w:r w:rsidRPr="006F05A9">
              <w:rPr>
                <w:b/>
                <w:bCs/>
              </w:rPr>
              <w:t>5-fold CV</w:t>
            </w:r>
          </w:p>
        </w:tc>
        <w:tc>
          <w:tcPr>
            <w:tcW w:w="2438" w:type="dxa"/>
          </w:tcPr>
          <w:p w14:paraId="386E6735" w14:textId="77777777" w:rsidR="00E51984" w:rsidRPr="006F05A9" w:rsidRDefault="00E51984" w:rsidP="004B16C0">
            <w:pPr>
              <w:jc w:val="center"/>
              <w:rPr>
                <w:b/>
                <w:bCs/>
              </w:rPr>
            </w:pPr>
            <w:r w:rsidRPr="006F05A9">
              <w:rPr>
                <w:b/>
                <w:bCs/>
              </w:rPr>
              <w:t>Group 5-fold (ZCTA) CV</w:t>
            </w:r>
          </w:p>
        </w:tc>
      </w:tr>
      <w:tr w:rsidR="00E51984" w:rsidRPr="00402050" w14:paraId="65A36C54" w14:textId="77777777" w:rsidTr="004B16C0">
        <w:tc>
          <w:tcPr>
            <w:tcW w:w="1075" w:type="dxa"/>
          </w:tcPr>
          <w:p w14:paraId="2E216EEE" w14:textId="77777777" w:rsidR="00E51984" w:rsidRPr="00402050" w:rsidRDefault="00E51984" w:rsidP="004B16C0">
            <w:pPr>
              <w:spacing w:after="160"/>
              <w:jc w:val="center"/>
            </w:pPr>
            <w:r w:rsidRPr="00402050">
              <w:rPr>
                <w:rFonts w:hint="eastAsia"/>
              </w:rPr>
              <w:t>RMSE</w:t>
            </w:r>
          </w:p>
        </w:tc>
        <w:tc>
          <w:tcPr>
            <w:tcW w:w="1806" w:type="dxa"/>
          </w:tcPr>
          <w:p w14:paraId="53A97A4D" w14:textId="77777777" w:rsidR="00E51984" w:rsidRPr="00402050" w:rsidRDefault="00E51984" w:rsidP="004B16C0">
            <w:pPr>
              <w:spacing w:after="160"/>
              <w:jc w:val="center"/>
            </w:pPr>
            <w:r>
              <w:rPr>
                <w:rFonts w:hint="eastAsia"/>
              </w:rPr>
              <w:t>8.57 (0.11)</w:t>
            </w:r>
          </w:p>
        </w:tc>
        <w:tc>
          <w:tcPr>
            <w:tcW w:w="2438" w:type="dxa"/>
          </w:tcPr>
          <w:p w14:paraId="27C5ADA5" w14:textId="77777777" w:rsidR="00E51984" w:rsidRPr="00402050" w:rsidRDefault="00E51984" w:rsidP="004B16C0">
            <w:pPr>
              <w:jc w:val="center"/>
            </w:pPr>
            <w:r>
              <w:rPr>
                <w:rFonts w:hint="eastAsia"/>
              </w:rPr>
              <w:t>8.60 (0.67)</w:t>
            </w:r>
          </w:p>
        </w:tc>
      </w:tr>
      <w:tr w:rsidR="00E51984" w:rsidRPr="00402050" w14:paraId="70BF89C3" w14:textId="77777777" w:rsidTr="004B16C0">
        <w:tc>
          <w:tcPr>
            <w:tcW w:w="1075" w:type="dxa"/>
          </w:tcPr>
          <w:p w14:paraId="497FC71B" w14:textId="77777777" w:rsidR="00E51984" w:rsidRPr="00402050" w:rsidRDefault="00E51984" w:rsidP="004B16C0">
            <w:pPr>
              <w:spacing w:after="160"/>
              <w:jc w:val="center"/>
            </w:pPr>
            <w:r w:rsidRPr="00402050">
              <w:rPr>
                <w:rFonts w:hint="eastAsia"/>
              </w:rPr>
              <w:t>R</w:t>
            </w:r>
            <w:r w:rsidRPr="006F05A9">
              <w:rPr>
                <w:vertAlign w:val="superscript"/>
              </w:rPr>
              <w:t>2</w:t>
            </w:r>
          </w:p>
        </w:tc>
        <w:tc>
          <w:tcPr>
            <w:tcW w:w="1806" w:type="dxa"/>
          </w:tcPr>
          <w:p w14:paraId="46062290" w14:textId="77777777" w:rsidR="00E51984" w:rsidRPr="00402050" w:rsidRDefault="00E51984" w:rsidP="004B16C0">
            <w:pPr>
              <w:spacing w:after="160"/>
              <w:jc w:val="center"/>
            </w:pPr>
            <w:r>
              <w:rPr>
                <w:rFonts w:hint="eastAsia"/>
              </w:rPr>
              <w:t>0.0054 (0.0010)</w:t>
            </w:r>
          </w:p>
        </w:tc>
        <w:tc>
          <w:tcPr>
            <w:tcW w:w="2438" w:type="dxa"/>
          </w:tcPr>
          <w:p w14:paraId="7468BA49" w14:textId="77777777" w:rsidR="00E51984" w:rsidRPr="00402050" w:rsidRDefault="00E51984" w:rsidP="004B16C0">
            <w:pPr>
              <w:jc w:val="center"/>
            </w:pPr>
            <w:r>
              <w:rPr>
                <w:rFonts w:hint="eastAsia"/>
              </w:rPr>
              <w:t>-0.0074 (0.0052)</w:t>
            </w:r>
          </w:p>
        </w:tc>
      </w:tr>
      <w:tr w:rsidR="00E51984" w:rsidRPr="00402050" w14:paraId="268B2562" w14:textId="77777777" w:rsidTr="004B16C0">
        <w:tc>
          <w:tcPr>
            <w:tcW w:w="1075" w:type="dxa"/>
          </w:tcPr>
          <w:p w14:paraId="7F14F8CB" w14:textId="77777777" w:rsidR="00E51984" w:rsidRPr="00402050" w:rsidRDefault="00E51984" w:rsidP="004B16C0">
            <w:pPr>
              <w:spacing w:after="160"/>
              <w:jc w:val="center"/>
            </w:pPr>
            <w:r w:rsidRPr="00402050">
              <w:rPr>
                <w:rFonts w:hint="eastAsia"/>
              </w:rPr>
              <w:t>MAPE</w:t>
            </w:r>
          </w:p>
        </w:tc>
        <w:tc>
          <w:tcPr>
            <w:tcW w:w="1806" w:type="dxa"/>
          </w:tcPr>
          <w:p w14:paraId="629986CB" w14:textId="77777777" w:rsidR="00E51984" w:rsidRPr="00402050" w:rsidRDefault="00E51984" w:rsidP="004B16C0">
            <w:pPr>
              <w:spacing w:after="160"/>
              <w:jc w:val="center"/>
            </w:pPr>
            <w:r>
              <w:rPr>
                <w:rFonts w:hint="eastAsia"/>
              </w:rPr>
              <w:t>95.66 (0.26)</w:t>
            </w:r>
          </w:p>
        </w:tc>
        <w:tc>
          <w:tcPr>
            <w:tcW w:w="2438" w:type="dxa"/>
          </w:tcPr>
          <w:p w14:paraId="36D50E1C" w14:textId="77777777" w:rsidR="00E51984" w:rsidRPr="00402050" w:rsidRDefault="00E51984" w:rsidP="004B16C0">
            <w:pPr>
              <w:jc w:val="center"/>
            </w:pPr>
            <w:r>
              <w:rPr>
                <w:rFonts w:hint="eastAsia"/>
              </w:rPr>
              <w:t>97.87 (2.49)</w:t>
            </w:r>
          </w:p>
        </w:tc>
      </w:tr>
    </w:tbl>
    <w:p w14:paraId="4325F8F1" w14:textId="77777777" w:rsidR="00E51984" w:rsidRDefault="00E51984" w:rsidP="00E51984">
      <w:pPr>
        <w:spacing w:before="240"/>
      </w:pPr>
      <w:r>
        <w:rPr>
          <w:rFonts w:hint="eastAsia"/>
        </w:rPr>
        <w:t xml:space="preserve">Despite using individual-level data, this model had limitations on the prediction accuracy. This limitation </w:t>
      </w:r>
      <w:r>
        <w:t>was caused</w:t>
      </w:r>
      <w:r>
        <w:rPr>
          <w:rFonts w:hint="eastAsia"/>
        </w:rPr>
        <w:t xml:space="preserve"> </w:t>
      </w:r>
      <w:r>
        <w:t>by</w:t>
      </w:r>
      <w:r>
        <w:rPr>
          <w:rFonts w:hint="eastAsia"/>
        </w:rPr>
        <w:t xml:space="preserve"> the lack of </w:t>
      </w:r>
      <w:r>
        <w:t>point</w:t>
      </w:r>
      <w:r>
        <w:rPr>
          <w:rFonts w:hint="eastAsia"/>
        </w:rPr>
        <w:t>-level address</w:t>
      </w:r>
      <w:r>
        <w:t>es</w:t>
      </w:r>
      <w:r>
        <w:rPr>
          <w:rFonts w:hint="eastAsia"/>
        </w:rPr>
        <w:t xml:space="preserve"> </w:t>
      </w:r>
      <w:r>
        <w:t>for</w:t>
      </w:r>
      <w:r>
        <w:rPr>
          <w:rFonts w:hint="eastAsia"/>
        </w:rPr>
        <w:t xml:space="preserve"> the residents</w:t>
      </w:r>
      <w:r>
        <w:t xml:space="preserve"> and forced the</w:t>
      </w:r>
      <w:r>
        <w:rPr>
          <w:rFonts w:hint="eastAsia"/>
        </w:rPr>
        <w:t xml:space="preserve"> use </w:t>
      </w:r>
      <w:r>
        <w:t>of</w:t>
      </w:r>
      <w:r>
        <w:rPr>
          <w:rFonts w:hint="eastAsia"/>
        </w:rPr>
        <w:t xml:space="preserve"> ZCTA-level aggregated variables. </w:t>
      </w:r>
      <w:r>
        <w:t>Because</w:t>
      </w:r>
      <w:r>
        <w:rPr>
          <w:rFonts w:hint="eastAsia"/>
        </w:rPr>
        <w:t xml:space="preserve"> </w:t>
      </w:r>
      <w:r>
        <w:t>the RF</w:t>
      </w:r>
      <w:r>
        <w:rPr>
          <w:rFonts w:hint="eastAsia"/>
        </w:rPr>
        <w:t xml:space="preserve"> model inherently </w:t>
      </w:r>
      <w:r>
        <w:t>tend</w:t>
      </w:r>
      <w:r>
        <w:rPr>
          <w:rFonts w:hint="eastAsia"/>
        </w:rPr>
        <w:t xml:space="preserve">ed to predict average value, the benefit of incorporating individual-level data was diminished. </w:t>
      </w:r>
      <w:r>
        <w:t>Although</w:t>
      </w:r>
      <w:r>
        <w:rPr>
          <w:rFonts w:hint="eastAsia"/>
        </w:rPr>
        <w:t xml:space="preserve"> poor performance metrics might imply the model is ineffective, they mainly highlight the challenges </w:t>
      </w:r>
      <w:r>
        <w:t>and limitations of modeling radon exposure with insufficient spatial details. The results show that the prediction of highly variable radon levels cannot be achieved from the aggregated variables. To fully utilize the information from the dataset, other approaches should be considered</w:t>
      </w:r>
      <w:r>
        <w:rPr>
          <w:rFonts w:hint="eastAsia"/>
        </w:rPr>
        <w:t xml:space="preserve"> </w:t>
      </w:r>
      <w:r>
        <w:t>(e.g.,</w:t>
      </w:r>
      <w:r>
        <w:rPr>
          <w:rFonts w:hint="eastAsia"/>
        </w:rPr>
        <w:t xml:space="preserve"> Q</w:t>
      </w:r>
      <w:r>
        <w:t>RF)</w:t>
      </w:r>
      <w:r>
        <w:rPr>
          <w:rFonts w:hint="eastAsia"/>
        </w:rPr>
        <w:t>.</w:t>
      </w:r>
    </w:p>
    <w:p w14:paraId="22CC1550" w14:textId="77777777" w:rsidR="00E51984" w:rsidRDefault="00E51984" w:rsidP="00E51984"/>
    <w:p w14:paraId="1EE93050" w14:textId="77777777" w:rsidR="00A91650" w:rsidRDefault="00A91650"/>
    <w:sectPr w:rsidR="00A91650" w:rsidSect="00E51984">
      <w:footerReference w:type="default" r:id="rId4"/>
      <w:footerReference w:type="first" r:id="rId5"/>
      <w:pgSz w:w="12240" w:h="15840"/>
      <w:pgMar w:top="1440" w:right="1440" w:bottom="1440" w:left="1440"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2327774"/>
      <w:docPartObj>
        <w:docPartGallery w:val="Page Numbers (Bottom of Page)"/>
        <w:docPartUnique/>
      </w:docPartObj>
    </w:sdtPr>
    <w:sdtEndPr>
      <w:rPr>
        <w:noProof/>
      </w:rPr>
    </w:sdtEndPr>
    <w:sdtContent>
      <w:p w14:paraId="0A5A56C9" w14:textId="77777777" w:rsidR="00E51984" w:rsidRDefault="00E5198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C023C0" w14:textId="77777777" w:rsidR="00E51984" w:rsidRDefault="00E519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0917E" w14:textId="77777777" w:rsidR="00E51984" w:rsidRPr="006F05A9" w:rsidRDefault="00E51984">
    <w:pPr>
      <w:pStyle w:val="Footer"/>
      <w:rPr>
        <w:sz w:val="18"/>
        <w:szCs w:val="18"/>
      </w:rPr>
    </w:pPr>
    <w:r w:rsidRPr="006F05A9">
      <w:rPr>
        <w:sz w:val="18"/>
        <w:szCs w:val="18"/>
      </w:rPr>
      <w:t xml:space="preserve">Notice: This manuscript has been authored by UT-Battelle LLC under contract DE-AC05-00OR22725 with the US </w:t>
    </w:r>
    <w:r w:rsidRPr="006F05A9">
      <w:rPr>
        <w:sz w:val="18"/>
        <w:szCs w:val="18"/>
      </w:rPr>
      <w:t>Department of Energy (DOE). The US government retains and the publisher, by accepting the article for publication, acknowledges that the US government retains a nonexclusive, paid-up, irrevocable, worldwide license to publish or reproduce the published form of this manuscript, or allow others to do so, for US government purposes. DOE will provide public access to these results of federally sponsored research in accordance with the DOE Public Access Plan (</w:t>
    </w:r>
    <w:hyperlink r:id="rId1" w:history="1">
      <w:r w:rsidRPr="006F05A9">
        <w:rPr>
          <w:rStyle w:val="Hyperlink"/>
          <w:sz w:val="18"/>
          <w:szCs w:val="18"/>
        </w:rPr>
        <w:t>https://www.energy.gov/doe-public-access-plan</w:t>
      </w:r>
    </w:hyperlink>
    <w:r w:rsidRPr="006F05A9">
      <w:rPr>
        <w:sz w:val="18"/>
        <w:szCs w:val="1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984"/>
    <w:rsid w:val="000E2EDD"/>
    <w:rsid w:val="009F2772"/>
    <w:rsid w:val="00A91650"/>
    <w:rsid w:val="00E51984"/>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D3201"/>
  <w15:chartTrackingRefBased/>
  <w15:docId w15:val="{3A5668F6-8672-4501-A090-F5979A3CC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984"/>
    <w:pPr>
      <w:spacing w:line="259" w:lineRule="auto"/>
    </w:pPr>
    <w:rPr>
      <w:rFonts w:eastAsiaTheme="minorEastAsia"/>
      <w:sz w:val="22"/>
      <w:szCs w:val="22"/>
      <w:lang w:val="en-US" w:eastAsia="ko-KR"/>
    </w:rPr>
  </w:style>
  <w:style w:type="paragraph" w:styleId="Heading1">
    <w:name w:val="heading 1"/>
    <w:basedOn w:val="Normal"/>
    <w:next w:val="Normal"/>
    <w:link w:val="Heading1Char"/>
    <w:uiPriority w:val="9"/>
    <w:qFormat/>
    <w:rsid w:val="00E5198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eastAsia="en-US"/>
    </w:rPr>
  </w:style>
  <w:style w:type="paragraph" w:styleId="Heading2">
    <w:name w:val="heading 2"/>
    <w:basedOn w:val="Normal"/>
    <w:next w:val="Normal"/>
    <w:link w:val="Heading2Char"/>
    <w:uiPriority w:val="9"/>
    <w:semiHidden/>
    <w:unhideWhenUsed/>
    <w:qFormat/>
    <w:rsid w:val="00E5198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eastAsia="en-US"/>
    </w:rPr>
  </w:style>
  <w:style w:type="paragraph" w:styleId="Heading3">
    <w:name w:val="heading 3"/>
    <w:basedOn w:val="Normal"/>
    <w:next w:val="Normal"/>
    <w:link w:val="Heading3Char"/>
    <w:uiPriority w:val="9"/>
    <w:semiHidden/>
    <w:unhideWhenUsed/>
    <w:qFormat/>
    <w:rsid w:val="00E51984"/>
    <w:pPr>
      <w:keepNext/>
      <w:keepLines/>
      <w:spacing w:before="160" w:after="80" w:line="278" w:lineRule="auto"/>
      <w:outlineLvl w:val="2"/>
    </w:pPr>
    <w:rPr>
      <w:rFonts w:eastAsiaTheme="majorEastAsia" w:cstheme="majorBidi"/>
      <w:color w:val="0F4761" w:themeColor="accent1" w:themeShade="BF"/>
      <w:sz w:val="28"/>
      <w:szCs w:val="28"/>
      <w:lang w:val="en-IN" w:eastAsia="en-US"/>
    </w:rPr>
  </w:style>
  <w:style w:type="paragraph" w:styleId="Heading4">
    <w:name w:val="heading 4"/>
    <w:basedOn w:val="Normal"/>
    <w:next w:val="Normal"/>
    <w:link w:val="Heading4Char"/>
    <w:uiPriority w:val="9"/>
    <w:semiHidden/>
    <w:unhideWhenUsed/>
    <w:qFormat/>
    <w:rsid w:val="00E51984"/>
    <w:pPr>
      <w:keepNext/>
      <w:keepLines/>
      <w:spacing w:before="80" w:after="40" w:line="278" w:lineRule="auto"/>
      <w:outlineLvl w:val="3"/>
    </w:pPr>
    <w:rPr>
      <w:rFonts w:eastAsiaTheme="majorEastAsia" w:cstheme="majorBidi"/>
      <w:i/>
      <w:iCs/>
      <w:color w:val="0F4761" w:themeColor="accent1" w:themeShade="BF"/>
      <w:sz w:val="24"/>
      <w:szCs w:val="24"/>
      <w:lang w:val="en-IN" w:eastAsia="en-US"/>
    </w:rPr>
  </w:style>
  <w:style w:type="paragraph" w:styleId="Heading5">
    <w:name w:val="heading 5"/>
    <w:basedOn w:val="Normal"/>
    <w:next w:val="Normal"/>
    <w:link w:val="Heading5Char"/>
    <w:uiPriority w:val="9"/>
    <w:semiHidden/>
    <w:unhideWhenUsed/>
    <w:qFormat/>
    <w:rsid w:val="00E51984"/>
    <w:pPr>
      <w:keepNext/>
      <w:keepLines/>
      <w:spacing w:before="80" w:after="40" w:line="278" w:lineRule="auto"/>
      <w:outlineLvl w:val="4"/>
    </w:pPr>
    <w:rPr>
      <w:rFonts w:eastAsiaTheme="majorEastAsia" w:cstheme="majorBidi"/>
      <w:color w:val="0F4761" w:themeColor="accent1" w:themeShade="BF"/>
      <w:sz w:val="24"/>
      <w:szCs w:val="24"/>
      <w:lang w:val="en-IN" w:eastAsia="en-US"/>
    </w:rPr>
  </w:style>
  <w:style w:type="paragraph" w:styleId="Heading6">
    <w:name w:val="heading 6"/>
    <w:basedOn w:val="Normal"/>
    <w:next w:val="Normal"/>
    <w:link w:val="Heading6Char"/>
    <w:uiPriority w:val="9"/>
    <w:semiHidden/>
    <w:unhideWhenUsed/>
    <w:qFormat/>
    <w:rsid w:val="00E51984"/>
    <w:pPr>
      <w:keepNext/>
      <w:keepLines/>
      <w:spacing w:before="40" w:after="0" w:line="278" w:lineRule="auto"/>
      <w:outlineLvl w:val="5"/>
    </w:pPr>
    <w:rPr>
      <w:rFonts w:eastAsiaTheme="majorEastAsia" w:cstheme="majorBidi"/>
      <w:i/>
      <w:iCs/>
      <w:color w:val="595959" w:themeColor="text1" w:themeTint="A6"/>
      <w:sz w:val="24"/>
      <w:szCs w:val="24"/>
      <w:lang w:val="en-IN" w:eastAsia="en-US"/>
    </w:rPr>
  </w:style>
  <w:style w:type="paragraph" w:styleId="Heading7">
    <w:name w:val="heading 7"/>
    <w:basedOn w:val="Normal"/>
    <w:next w:val="Normal"/>
    <w:link w:val="Heading7Char"/>
    <w:uiPriority w:val="9"/>
    <w:semiHidden/>
    <w:unhideWhenUsed/>
    <w:qFormat/>
    <w:rsid w:val="00E51984"/>
    <w:pPr>
      <w:keepNext/>
      <w:keepLines/>
      <w:spacing w:before="40" w:after="0" w:line="278" w:lineRule="auto"/>
      <w:outlineLvl w:val="6"/>
    </w:pPr>
    <w:rPr>
      <w:rFonts w:eastAsiaTheme="majorEastAsia" w:cstheme="majorBidi"/>
      <w:color w:val="595959" w:themeColor="text1" w:themeTint="A6"/>
      <w:sz w:val="24"/>
      <w:szCs w:val="24"/>
      <w:lang w:val="en-IN" w:eastAsia="en-US"/>
    </w:rPr>
  </w:style>
  <w:style w:type="paragraph" w:styleId="Heading8">
    <w:name w:val="heading 8"/>
    <w:basedOn w:val="Normal"/>
    <w:next w:val="Normal"/>
    <w:link w:val="Heading8Char"/>
    <w:uiPriority w:val="9"/>
    <w:semiHidden/>
    <w:unhideWhenUsed/>
    <w:qFormat/>
    <w:rsid w:val="00E51984"/>
    <w:pPr>
      <w:keepNext/>
      <w:keepLines/>
      <w:spacing w:after="0" w:line="278" w:lineRule="auto"/>
      <w:outlineLvl w:val="7"/>
    </w:pPr>
    <w:rPr>
      <w:rFonts w:eastAsiaTheme="majorEastAsia" w:cstheme="majorBidi"/>
      <w:i/>
      <w:iCs/>
      <w:color w:val="272727" w:themeColor="text1" w:themeTint="D8"/>
      <w:sz w:val="24"/>
      <w:szCs w:val="24"/>
      <w:lang w:val="en-IN" w:eastAsia="en-US"/>
    </w:rPr>
  </w:style>
  <w:style w:type="paragraph" w:styleId="Heading9">
    <w:name w:val="heading 9"/>
    <w:basedOn w:val="Normal"/>
    <w:next w:val="Normal"/>
    <w:link w:val="Heading9Char"/>
    <w:uiPriority w:val="9"/>
    <w:semiHidden/>
    <w:unhideWhenUsed/>
    <w:qFormat/>
    <w:rsid w:val="00E51984"/>
    <w:pPr>
      <w:keepNext/>
      <w:keepLines/>
      <w:spacing w:after="0" w:line="278" w:lineRule="auto"/>
      <w:outlineLvl w:val="8"/>
    </w:pPr>
    <w:rPr>
      <w:rFonts w:eastAsiaTheme="majorEastAsia" w:cstheme="majorBidi"/>
      <w:color w:val="272727" w:themeColor="text1" w:themeTint="D8"/>
      <w:sz w:val="24"/>
      <w:szCs w:val="24"/>
      <w:lang w:val="en-IN"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9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19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9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9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19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19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9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9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984"/>
    <w:rPr>
      <w:rFonts w:eastAsiaTheme="majorEastAsia" w:cstheme="majorBidi"/>
      <w:color w:val="272727" w:themeColor="text1" w:themeTint="D8"/>
    </w:rPr>
  </w:style>
  <w:style w:type="paragraph" w:styleId="Title">
    <w:name w:val="Title"/>
    <w:basedOn w:val="Normal"/>
    <w:next w:val="Normal"/>
    <w:link w:val="TitleChar"/>
    <w:uiPriority w:val="10"/>
    <w:qFormat/>
    <w:rsid w:val="00E51984"/>
    <w:pPr>
      <w:spacing w:after="80" w:line="240" w:lineRule="auto"/>
      <w:contextualSpacing/>
    </w:pPr>
    <w:rPr>
      <w:rFonts w:asciiTheme="majorHAnsi" w:eastAsiaTheme="majorEastAsia" w:hAnsiTheme="majorHAnsi" w:cstheme="majorBidi"/>
      <w:spacing w:val="-10"/>
      <w:kern w:val="28"/>
      <w:sz w:val="56"/>
      <w:szCs w:val="56"/>
      <w:lang w:val="en-IN" w:eastAsia="en-US"/>
    </w:rPr>
  </w:style>
  <w:style w:type="character" w:customStyle="1" w:styleId="TitleChar">
    <w:name w:val="Title Char"/>
    <w:basedOn w:val="DefaultParagraphFont"/>
    <w:link w:val="Title"/>
    <w:uiPriority w:val="10"/>
    <w:rsid w:val="00E519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984"/>
    <w:pPr>
      <w:numPr>
        <w:ilvl w:val="1"/>
      </w:numPr>
      <w:spacing w:line="278" w:lineRule="auto"/>
    </w:pPr>
    <w:rPr>
      <w:rFonts w:eastAsiaTheme="majorEastAsia" w:cstheme="majorBidi"/>
      <w:color w:val="595959" w:themeColor="text1" w:themeTint="A6"/>
      <w:spacing w:val="15"/>
      <w:sz w:val="28"/>
      <w:szCs w:val="28"/>
      <w:lang w:val="en-IN" w:eastAsia="en-US"/>
    </w:rPr>
  </w:style>
  <w:style w:type="character" w:customStyle="1" w:styleId="SubtitleChar">
    <w:name w:val="Subtitle Char"/>
    <w:basedOn w:val="DefaultParagraphFont"/>
    <w:link w:val="Subtitle"/>
    <w:uiPriority w:val="11"/>
    <w:rsid w:val="00E519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984"/>
    <w:pPr>
      <w:spacing w:before="160" w:line="278" w:lineRule="auto"/>
      <w:jc w:val="center"/>
    </w:pPr>
    <w:rPr>
      <w:rFonts w:eastAsiaTheme="minorHAnsi"/>
      <w:i/>
      <w:iCs/>
      <w:color w:val="404040" w:themeColor="text1" w:themeTint="BF"/>
      <w:sz w:val="24"/>
      <w:szCs w:val="24"/>
      <w:lang w:val="en-IN" w:eastAsia="en-US"/>
    </w:rPr>
  </w:style>
  <w:style w:type="character" w:customStyle="1" w:styleId="QuoteChar">
    <w:name w:val="Quote Char"/>
    <w:basedOn w:val="DefaultParagraphFont"/>
    <w:link w:val="Quote"/>
    <w:uiPriority w:val="29"/>
    <w:rsid w:val="00E51984"/>
    <w:rPr>
      <w:i/>
      <w:iCs/>
      <w:color w:val="404040" w:themeColor="text1" w:themeTint="BF"/>
    </w:rPr>
  </w:style>
  <w:style w:type="paragraph" w:styleId="ListParagraph">
    <w:name w:val="List Paragraph"/>
    <w:basedOn w:val="Normal"/>
    <w:uiPriority w:val="34"/>
    <w:qFormat/>
    <w:rsid w:val="00E51984"/>
    <w:pPr>
      <w:spacing w:line="278" w:lineRule="auto"/>
      <w:ind w:left="720"/>
      <w:contextualSpacing/>
    </w:pPr>
    <w:rPr>
      <w:rFonts w:eastAsiaTheme="minorHAnsi"/>
      <w:sz w:val="24"/>
      <w:szCs w:val="24"/>
      <w:lang w:val="en-IN" w:eastAsia="en-US"/>
    </w:rPr>
  </w:style>
  <w:style w:type="character" w:styleId="IntenseEmphasis">
    <w:name w:val="Intense Emphasis"/>
    <w:basedOn w:val="DefaultParagraphFont"/>
    <w:uiPriority w:val="21"/>
    <w:qFormat/>
    <w:rsid w:val="00E51984"/>
    <w:rPr>
      <w:i/>
      <w:iCs/>
      <w:color w:val="0F4761" w:themeColor="accent1" w:themeShade="BF"/>
    </w:rPr>
  </w:style>
  <w:style w:type="paragraph" w:styleId="IntenseQuote">
    <w:name w:val="Intense Quote"/>
    <w:basedOn w:val="Normal"/>
    <w:next w:val="Normal"/>
    <w:link w:val="IntenseQuoteChar"/>
    <w:uiPriority w:val="30"/>
    <w:qFormat/>
    <w:rsid w:val="00E5198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rPr>
  </w:style>
  <w:style w:type="character" w:customStyle="1" w:styleId="IntenseQuoteChar">
    <w:name w:val="Intense Quote Char"/>
    <w:basedOn w:val="DefaultParagraphFont"/>
    <w:link w:val="IntenseQuote"/>
    <w:uiPriority w:val="30"/>
    <w:rsid w:val="00E51984"/>
    <w:rPr>
      <w:i/>
      <w:iCs/>
      <w:color w:val="0F4761" w:themeColor="accent1" w:themeShade="BF"/>
    </w:rPr>
  </w:style>
  <w:style w:type="character" w:styleId="IntenseReference">
    <w:name w:val="Intense Reference"/>
    <w:basedOn w:val="DefaultParagraphFont"/>
    <w:uiPriority w:val="32"/>
    <w:qFormat/>
    <w:rsid w:val="00E51984"/>
    <w:rPr>
      <w:b/>
      <w:bCs/>
      <w:smallCaps/>
      <w:color w:val="0F4761" w:themeColor="accent1" w:themeShade="BF"/>
      <w:spacing w:val="5"/>
    </w:rPr>
  </w:style>
  <w:style w:type="character" w:styleId="Hyperlink">
    <w:name w:val="Hyperlink"/>
    <w:basedOn w:val="DefaultParagraphFont"/>
    <w:uiPriority w:val="99"/>
    <w:unhideWhenUsed/>
    <w:rsid w:val="00E51984"/>
    <w:rPr>
      <w:color w:val="467886" w:themeColor="hyperlink"/>
      <w:u w:val="single"/>
    </w:rPr>
  </w:style>
  <w:style w:type="paragraph" w:styleId="Footer">
    <w:name w:val="footer"/>
    <w:basedOn w:val="Normal"/>
    <w:link w:val="FooterChar"/>
    <w:uiPriority w:val="99"/>
    <w:unhideWhenUsed/>
    <w:rsid w:val="00E519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1984"/>
    <w:rPr>
      <w:rFonts w:eastAsiaTheme="minorEastAsia"/>
      <w:sz w:val="22"/>
      <w:szCs w:val="22"/>
      <w:lang w:val="en-US" w:eastAsia="ko-KR"/>
    </w:rPr>
  </w:style>
  <w:style w:type="table" w:styleId="TableGrid">
    <w:name w:val="Table Grid"/>
    <w:basedOn w:val="TableNormal"/>
    <w:uiPriority w:val="39"/>
    <w:rsid w:val="00E51984"/>
    <w:pPr>
      <w:spacing w:after="0" w:line="240" w:lineRule="auto"/>
    </w:pPr>
    <w:rPr>
      <w:rFonts w:eastAsiaTheme="minorEastAsia"/>
      <w:sz w:val="22"/>
      <w:szCs w:val="22"/>
      <w:lang w:val="en-US"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519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s://www.energy.gov/doe-public-access-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290</Words>
  <Characters>1653</Characters>
  <Application>Microsoft Office Word</Application>
  <DocSecurity>0</DocSecurity>
  <Lines>13</Lines>
  <Paragraphs>3</Paragraphs>
  <ScaleCrop>false</ScaleCrop>
  <Company/>
  <LinksUpToDate>false</LinksUpToDate>
  <CharactersWithSpaces>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2025-06-26T09:50:00Z</dcterms:created>
  <dcterms:modified xsi:type="dcterms:W3CDTF">2025-06-26T09:51:00Z</dcterms:modified>
</cp:coreProperties>
</file>