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FC9" w:rsidRDefault="00924FC9"/>
    <w:tbl>
      <w:tblPr>
        <w:tblW w:w="7490" w:type="dxa"/>
        <w:jc w:val="center"/>
        <w:tblLayout w:type="fixed"/>
        <w:tblLook w:val="0400" w:firstRow="0" w:lastRow="0" w:firstColumn="0" w:lastColumn="0" w:noHBand="0" w:noVBand="1"/>
      </w:tblPr>
      <w:tblGrid>
        <w:gridCol w:w="4078"/>
        <w:gridCol w:w="1985"/>
        <w:gridCol w:w="10"/>
        <w:gridCol w:w="1407"/>
        <w:gridCol w:w="10"/>
      </w:tblGrid>
      <w:tr w:rsidR="00BE584A" w:rsidTr="00CD07B5">
        <w:trPr>
          <w:trHeight w:val="163"/>
          <w:jc w:val="center"/>
        </w:trPr>
        <w:tc>
          <w:tcPr>
            <w:tcW w:w="60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Variable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 (%)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Geographical Region of Work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North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 (46%)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Center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 (21%)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South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 (33%)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Years as Medical Genetics Specialist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CD07B5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sdt>
              <w:sdtPr>
                <w:tag w:val="goog_rdk_22"/>
                <w:id w:val="-732854399"/>
              </w:sdtPr>
              <w:sdtEndPr/>
              <w:sdtContent>
                <w:r w:rsidR="00BE584A"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≤ 5</w:t>
                </w:r>
              </w:sdtContent>
            </w:sdt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(42%)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&gt; 5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 (58%)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Laboratory Performing Tests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Internal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 (46%)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External – Public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 (13%)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External – Private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(42%)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Commonly Prescribed Tests for CNV Detection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CGH-Array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 (96%)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SNP-Array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 (50%)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MLPA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 (92%)</w:t>
            </w:r>
          </w:p>
        </w:tc>
      </w:tr>
      <w:tr w:rsidR="00BE584A" w:rsidTr="00CD07B5">
        <w:trPr>
          <w:gridAfter w:val="1"/>
          <w:wAfter w:w="10" w:type="dxa"/>
          <w:trHeight w:val="163"/>
          <w:jc w:val="center"/>
        </w:trPr>
        <w:tc>
          <w:tcPr>
            <w:tcW w:w="40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NGS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E584A" w:rsidRDefault="00BE584A" w:rsidP="0066185A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(8%)</w:t>
            </w:r>
          </w:p>
        </w:tc>
      </w:tr>
    </w:tbl>
    <w:p w:rsidR="00BE584A" w:rsidRDefault="00BE584A" w:rsidP="00BE584A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BE584A" w:rsidRDefault="00CD07B5" w:rsidP="00BE584A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S2 – </w:t>
      </w:r>
      <w:r w:rsidR="00924FC9">
        <w:rPr>
          <w:rFonts w:ascii="Arial" w:eastAsia="Arial" w:hAnsi="Arial" w:cs="Arial"/>
          <w:sz w:val="18"/>
          <w:szCs w:val="18"/>
        </w:rPr>
        <w:t xml:space="preserve">Supplementary </w:t>
      </w:r>
      <w:r w:rsidR="00BE584A">
        <w:rPr>
          <w:rFonts w:ascii="Arial" w:eastAsia="Arial" w:hAnsi="Arial" w:cs="Arial"/>
          <w:sz w:val="18"/>
          <w:szCs w:val="18"/>
        </w:rPr>
        <w:t xml:space="preserve">Table </w:t>
      </w:r>
      <w:r>
        <w:rPr>
          <w:rFonts w:ascii="Arial" w:eastAsia="Arial" w:hAnsi="Arial" w:cs="Arial"/>
          <w:sz w:val="18"/>
          <w:szCs w:val="18"/>
        </w:rPr>
        <w:t>2</w:t>
      </w:r>
      <w:r w:rsidR="00BE584A">
        <w:rPr>
          <w:rFonts w:ascii="Arial" w:eastAsia="Arial" w:hAnsi="Arial" w:cs="Arial"/>
          <w:sz w:val="18"/>
          <w:szCs w:val="18"/>
        </w:rPr>
        <w:t xml:space="preserve"> – General characterization of the sample. CGH, comparative genomic hybridization; MLPA, multiplex ligation-dependent probe amplification; NGS, next-generation sequencing; SNP, single nucleotide polymorphism.</w:t>
      </w:r>
    </w:p>
    <w:p w:rsidR="00BE584A" w:rsidRDefault="00BE584A" w:rsidP="00BE584A">
      <w:pPr>
        <w:spacing w:line="276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 (%), frequency (proportion).</w:t>
      </w:r>
    </w:p>
    <w:p w:rsidR="00D222A0" w:rsidRDefault="00D222A0"/>
    <w:p w:rsidR="00C771F1" w:rsidRDefault="00C771F1" w:rsidP="00C771F1">
      <w:pPr>
        <w:spacing w:line="48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C771F1" w:rsidRDefault="00C771F1"/>
    <w:sectPr w:rsidR="00C771F1" w:rsidSect="00CF25B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4A"/>
    <w:rsid w:val="00360248"/>
    <w:rsid w:val="00924FC9"/>
    <w:rsid w:val="00BE584A"/>
    <w:rsid w:val="00C771F1"/>
    <w:rsid w:val="00CD07B5"/>
    <w:rsid w:val="00CF25B9"/>
    <w:rsid w:val="00D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4CC92B"/>
  <w15:chartTrackingRefBased/>
  <w15:docId w15:val="{C3CB24BD-7B0D-2748-91C3-3989EFF0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84A"/>
    <w:rPr>
      <w:rFonts w:ascii="Calibri" w:eastAsia="Calibri" w:hAnsi="Calibri" w:cs="Calibri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2024-12-30T12:48:00Z</dcterms:created>
  <dcterms:modified xsi:type="dcterms:W3CDTF">2025-03-31T11:33:00Z</dcterms:modified>
</cp:coreProperties>
</file>